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1169" w14:textId="77777777" w:rsidR="00DE64A6" w:rsidRDefault="00000000">
      <w:pPr>
        <w:spacing w:after="0" w:line="360" w:lineRule="auto"/>
      </w:pPr>
      <w:r>
        <w:t xml:space="preserve">  </w:t>
      </w:r>
    </w:p>
    <w:p w14:paraId="33BDCB01" w14:textId="77777777" w:rsidR="00DE64A6" w:rsidRDefault="00DE64A6"/>
    <w:p w14:paraId="1321A162" w14:textId="77777777" w:rsidR="00DE64A6" w:rsidRDefault="00DE64A6">
      <w:pPr>
        <w:rPr>
          <w:rFonts w:ascii="Candara" w:eastAsia="Candara" w:hAnsi="Candara" w:cs="Candara"/>
          <w:i/>
          <w:color w:val="538135"/>
          <w:sz w:val="28"/>
          <w:szCs w:val="28"/>
        </w:rPr>
      </w:pPr>
    </w:p>
    <w:p w14:paraId="0C38F30A" w14:textId="77777777" w:rsidR="00DE64A6" w:rsidRDefault="00DE64A6">
      <w:pPr>
        <w:rPr>
          <w:rFonts w:ascii="Candara" w:eastAsia="Candara" w:hAnsi="Candara" w:cs="Candara"/>
          <w:b/>
          <w:color w:val="5B9BD5"/>
          <w:sz w:val="28"/>
          <w:szCs w:val="28"/>
        </w:rPr>
      </w:pPr>
    </w:p>
    <w:p w14:paraId="7FD07037" w14:textId="77777777" w:rsidR="00DE64A6" w:rsidRDefault="00DE64A6">
      <w:pPr>
        <w:rPr>
          <w:sz w:val="32"/>
          <w:szCs w:val="32"/>
        </w:rPr>
      </w:pPr>
    </w:p>
    <w:p w14:paraId="7A6DE6E9" w14:textId="77777777" w:rsidR="00DE64A6" w:rsidRDefault="00000000">
      <w:pPr>
        <w:spacing w:after="0"/>
        <w:jc w:val="right"/>
        <w:rPr>
          <w:sz w:val="96"/>
          <w:szCs w:val="96"/>
        </w:rPr>
      </w:pPr>
      <w:r>
        <w:rPr>
          <w:b/>
          <w:color w:val="000000"/>
          <w:sz w:val="96"/>
          <w:szCs w:val="96"/>
        </w:rPr>
        <w:t>RAINBO</w:t>
      </w:r>
    </w:p>
    <w:p w14:paraId="65407F70" w14:textId="77777777" w:rsidR="00DE64A6" w:rsidRDefault="00DE64A6">
      <w:pPr>
        <w:spacing w:after="0"/>
        <w:jc w:val="right"/>
        <w:rPr>
          <w:color w:val="000000"/>
          <w:sz w:val="24"/>
          <w:szCs w:val="24"/>
        </w:rPr>
      </w:pPr>
    </w:p>
    <w:p w14:paraId="7665E332" w14:textId="77777777" w:rsidR="00DE64A6" w:rsidRDefault="00000000">
      <w:pPr>
        <w:spacing w:after="0"/>
        <w:jc w:val="right"/>
        <w:rPr>
          <w:color w:val="000000"/>
          <w:sz w:val="40"/>
          <w:szCs w:val="40"/>
        </w:rPr>
      </w:pPr>
      <w:r>
        <w:rPr>
          <w:color w:val="000000"/>
          <w:sz w:val="48"/>
          <w:szCs w:val="48"/>
        </w:rPr>
        <w:t xml:space="preserve"> </w:t>
      </w:r>
      <w:r>
        <w:rPr>
          <w:b/>
          <w:color w:val="000000"/>
          <w:sz w:val="40"/>
          <w:szCs w:val="40"/>
        </w:rPr>
        <w:t xml:space="preserve">Raising the Digital Literacy of Professionals to Address Inequalities and Exclusion of LGBTQI Community </w:t>
      </w:r>
    </w:p>
    <w:p w14:paraId="3DC9EA81" w14:textId="77777777" w:rsidR="00DE64A6" w:rsidRDefault="00DE64A6">
      <w:pPr>
        <w:ind w:hanging="426"/>
        <w:jc w:val="right"/>
        <w:rPr>
          <w:sz w:val="32"/>
          <w:szCs w:val="32"/>
        </w:rPr>
      </w:pPr>
    </w:p>
    <w:p w14:paraId="06361BBA" w14:textId="77777777" w:rsidR="00DE64A6" w:rsidRDefault="00DE64A6">
      <w:pPr>
        <w:rPr>
          <w:sz w:val="32"/>
          <w:szCs w:val="32"/>
        </w:rPr>
      </w:pPr>
    </w:p>
    <w:p w14:paraId="64D25F46" w14:textId="77777777" w:rsidR="00DE64A6" w:rsidRDefault="00DE64A6">
      <w:pPr>
        <w:rPr>
          <w:sz w:val="32"/>
          <w:szCs w:val="32"/>
        </w:rPr>
      </w:pPr>
    </w:p>
    <w:p w14:paraId="759DDCD0" w14:textId="77777777" w:rsidR="00DE64A6" w:rsidRDefault="00000000">
      <w:pPr>
        <w:shd w:val="clear" w:color="auto" w:fill="9900FF"/>
        <w:spacing w:line="240" w:lineRule="auto"/>
        <w:rPr>
          <w:b/>
          <w:color w:val="FFFFFF"/>
          <w:sz w:val="32"/>
          <w:szCs w:val="32"/>
        </w:rPr>
      </w:pPr>
      <w:r>
        <w:rPr>
          <w:b/>
          <w:color w:val="FFFFFF"/>
          <w:sz w:val="32"/>
          <w:szCs w:val="32"/>
        </w:rPr>
        <w:t>Intellectual Output 1: Needs assessment</w:t>
      </w:r>
    </w:p>
    <w:p w14:paraId="442D1657" w14:textId="77777777" w:rsidR="00DE64A6" w:rsidRDefault="00000000">
      <w:pPr>
        <w:shd w:val="clear" w:color="auto" w:fill="9900FF"/>
        <w:jc w:val="right"/>
        <w:rPr>
          <w:rFonts w:ascii="Times New Roman" w:eastAsia="Times New Roman" w:hAnsi="Times New Roman" w:cs="Times New Roman"/>
          <w:b/>
          <w:color w:val="FFFFFF"/>
          <w:sz w:val="24"/>
          <w:szCs w:val="24"/>
        </w:rPr>
      </w:pPr>
      <w:r>
        <w:rPr>
          <w:b/>
          <w:color w:val="FFFFFF"/>
          <w:sz w:val="24"/>
          <w:szCs w:val="24"/>
        </w:rPr>
        <w:t>Date: 10.11.2021</w:t>
      </w:r>
    </w:p>
    <w:p w14:paraId="10BEEE56" w14:textId="77777777" w:rsidR="00DE64A6" w:rsidRDefault="00000000">
      <w:pPr>
        <w:shd w:val="clear" w:color="auto" w:fill="9900FF"/>
        <w:rPr>
          <w:b/>
          <w:sz w:val="24"/>
          <w:szCs w:val="24"/>
        </w:rPr>
      </w:pPr>
      <w:r>
        <w:rPr>
          <w:noProof/>
        </w:rPr>
        <w:drawing>
          <wp:anchor distT="0" distB="0" distL="114300" distR="114300" simplePos="0" relativeHeight="251658240" behindDoc="0" locked="0" layoutInCell="1" hidden="0" allowOverlap="1" wp14:anchorId="3738C65A" wp14:editId="181E4CA1">
            <wp:simplePos x="0" y="0"/>
            <wp:positionH relativeFrom="column">
              <wp:posOffset>1993900</wp:posOffset>
            </wp:positionH>
            <wp:positionV relativeFrom="paragraph">
              <wp:posOffset>318770</wp:posOffset>
            </wp:positionV>
            <wp:extent cx="2606563" cy="1371600"/>
            <wp:effectExtent l="0" t="0" r="0" b="0"/>
            <wp:wrapNone/>
            <wp:docPr id="93" name="image5.png" descr="NovelGroup | NovelGroup"/>
            <wp:cNvGraphicFramePr/>
            <a:graphic xmlns:a="http://schemas.openxmlformats.org/drawingml/2006/main">
              <a:graphicData uri="http://schemas.openxmlformats.org/drawingml/2006/picture">
                <pic:pic xmlns:pic="http://schemas.openxmlformats.org/drawingml/2006/picture">
                  <pic:nvPicPr>
                    <pic:cNvPr id="0" name="image5.png" descr="NovelGroup | NovelGroup"/>
                    <pic:cNvPicPr preferRelativeResize="0"/>
                  </pic:nvPicPr>
                  <pic:blipFill>
                    <a:blip r:embed="rId8"/>
                    <a:srcRect/>
                    <a:stretch>
                      <a:fillRect/>
                    </a:stretch>
                  </pic:blipFill>
                  <pic:spPr>
                    <a:xfrm>
                      <a:off x="0" y="0"/>
                      <a:ext cx="2606563" cy="1371600"/>
                    </a:xfrm>
                    <a:prstGeom prst="rect">
                      <a:avLst/>
                    </a:prstGeom>
                    <a:ln/>
                  </pic:spPr>
                </pic:pic>
              </a:graphicData>
            </a:graphic>
          </wp:anchor>
        </w:drawing>
      </w:r>
    </w:p>
    <w:p w14:paraId="07CA0DD8" w14:textId="77777777" w:rsidR="00DE64A6" w:rsidRDefault="00000000">
      <w:pPr>
        <w:rPr>
          <w:b/>
          <w:sz w:val="24"/>
          <w:szCs w:val="24"/>
        </w:rPr>
      </w:pPr>
      <w:r>
        <w:br w:type="page"/>
      </w:r>
    </w:p>
    <w:p w14:paraId="6D81DE93" w14:textId="77777777" w:rsidR="00DE64A6" w:rsidRDefault="00000000">
      <w:pPr>
        <w:rPr>
          <w:b/>
          <w:sz w:val="32"/>
          <w:szCs w:val="32"/>
        </w:rPr>
      </w:pPr>
      <w:r>
        <w:rPr>
          <w:b/>
          <w:sz w:val="32"/>
          <w:szCs w:val="32"/>
        </w:rPr>
        <w:lastRenderedPageBreak/>
        <w:t>Document Identification:</w:t>
      </w:r>
    </w:p>
    <w:p w14:paraId="2A4495B4" w14:textId="77777777" w:rsidR="00DE64A6" w:rsidRDefault="00DE64A6">
      <w:pPr>
        <w:rPr>
          <w:b/>
          <w:sz w:val="32"/>
          <w:szCs w:val="32"/>
        </w:rPr>
      </w:pPr>
    </w:p>
    <w:tbl>
      <w:tblPr>
        <w:tblStyle w:val="a7"/>
        <w:tblW w:w="9351"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114"/>
        <w:gridCol w:w="6237"/>
      </w:tblGrid>
      <w:tr w:rsidR="00DE64A6" w14:paraId="0FCEC6F3" w14:textId="77777777" w:rsidTr="00DE64A6">
        <w:trPr>
          <w:cnfStyle w:val="100000000000" w:firstRow="1" w:lastRow="0" w:firstColumn="0" w:lastColumn="0" w:oddVBand="0" w:evenVBand="0" w:oddHBand="0" w:evenHBand="0" w:firstRowFirstColumn="0" w:firstRowLastColumn="0" w:lastRowFirstColumn="0" w:lastRowLastColumn="0"/>
          <w:trHeight w:val="748"/>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9900FF"/>
          </w:tcPr>
          <w:p w14:paraId="242FEE3D" w14:textId="77777777" w:rsidR="00DE64A6" w:rsidRDefault="00000000">
            <w:pPr>
              <w:spacing w:line="360" w:lineRule="auto"/>
              <w:rPr>
                <w:sz w:val="28"/>
                <w:szCs w:val="28"/>
              </w:rPr>
            </w:pPr>
            <w:r>
              <w:rPr>
                <w:sz w:val="28"/>
                <w:szCs w:val="28"/>
              </w:rPr>
              <w:t>Output title</w:t>
            </w:r>
          </w:p>
        </w:tc>
        <w:tc>
          <w:tcPr>
            <w:tcW w:w="6237" w:type="dxa"/>
            <w:shd w:val="clear" w:color="auto" w:fill="9900FF"/>
          </w:tcPr>
          <w:p w14:paraId="5DD35773" w14:textId="77777777" w:rsidR="00DE64A6" w:rsidRDefault="00000000">
            <w:pPr>
              <w:spacing w:line="360" w:lineRule="auto"/>
              <w:jc w:val="both"/>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Needs assessment</w:t>
            </w:r>
          </w:p>
        </w:tc>
      </w:tr>
      <w:tr w:rsidR="00DE64A6" w14:paraId="70417B1C" w14:textId="77777777" w:rsidTr="00DE64A6">
        <w:trPr>
          <w:cnfStyle w:val="000000100000" w:firstRow="0" w:lastRow="0" w:firstColumn="0" w:lastColumn="0" w:oddVBand="0" w:evenVBand="0" w:oddHBand="1" w:evenHBand="0" w:firstRowFirstColumn="0" w:firstRowLastColumn="0" w:lastRowFirstColumn="0" w:lastRowLastColumn="0"/>
          <w:trHeight w:val="631"/>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9900FF"/>
          </w:tcPr>
          <w:p w14:paraId="0AB30889" w14:textId="77777777" w:rsidR="00DE64A6" w:rsidRDefault="00000000">
            <w:pPr>
              <w:spacing w:line="360" w:lineRule="auto"/>
              <w:rPr>
                <w:sz w:val="28"/>
                <w:szCs w:val="28"/>
              </w:rPr>
            </w:pPr>
            <w:r>
              <w:rPr>
                <w:sz w:val="28"/>
                <w:szCs w:val="28"/>
              </w:rPr>
              <w:t>Output type</w:t>
            </w:r>
          </w:p>
        </w:tc>
        <w:tc>
          <w:tcPr>
            <w:tcW w:w="6237" w:type="dxa"/>
            <w:shd w:val="clear" w:color="auto" w:fill="9900FF"/>
          </w:tcPr>
          <w:p w14:paraId="115B2259" w14:textId="77777777" w:rsidR="00DE64A6" w:rsidRDefault="00000000">
            <w:pPr>
              <w:spacing w:line="360" w:lineRule="auto"/>
              <w:jc w:val="both"/>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 xml:space="preserve">Research report </w:t>
            </w:r>
          </w:p>
        </w:tc>
      </w:tr>
      <w:tr w:rsidR="00DE64A6" w14:paraId="16C33594" w14:textId="77777777" w:rsidTr="00DE64A6">
        <w:trPr>
          <w:trHeight w:val="528"/>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9900FF"/>
          </w:tcPr>
          <w:p w14:paraId="1B1CC5A7" w14:textId="77777777" w:rsidR="00DE64A6" w:rsidRDefault="00000000">
            <w:pPr>
              <w:spacing w:line="360" w:lineRule="auto"/>
              <w:rPr>
                <w:sz w:val="28"/>
                <w:szCs w:val="28"/>
              </w:rPr>
            </w:pPr>
            <w:r>
              <w:rPr>
                <w:sz w:val="28"/>
                <w:szCs w:val="28"/>
              </w:rPr>
              <w:t>Lead Partner</w:t>
            </w:r>
          </w:p>
        </w:tc>
        <w:tc>
          <w:tcPr>
            <w:tcW w:w="6237" w:type="dxa"/>
            <w:shd w:val="clear" w:color="auto" w:fill="9900FF"/>
          </w:tcPr>
          <w:p w14:paraId="39D76179" w14:textId="77777777" w:rsidR="00DE64A6"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Symplexis</w:t>
            </w:r>
          </w:p>
        </w:tc>
      </w:tr>
      <w:tr w:rsidR="00DE64A6" w14:paraId="1EAF3EDE" w14:textId="77777777" w:rsidTr="00DE64A6">
        <w:trPr>
          <w:cnfStyle w:val="000000100000" w:firstRow="0" w:lastRow="0" w:firstColumn="0" w:lastColumn="0" w:oddVBand="0" w:evenVBand="0" w:oddHBand="1" w:evenHBand="0" w:firstRowFirstColumn="0" w:firstRowLastColumn="0" w:lastRowFirstColumn="0" w:lastRowLastColumn="0"/>
          <w:trHeight w:val="585"/>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9900FF"/>
          </w:tcPr>
          <w:p w14:paraId="59EB2157" w14:textId="77777777" w:rsidR="00DE64A6" w:rsidRDefault="00000000">
            <w:pPr>
              <w:spacing w:line="360" w:lineRule="auto"/>
              <w:rPr>
                <w:sz w:val="28"/>
                <w:szCs w:val="28"/>
              </w:rPr>
            </w:pPr>
            <w:r>
              <w:rPr>
                <w:sz w:val="28"/>
                <w:szCs w:val="28"/>
              </w:rPr>
              <w:t>Author(s)</w:t>
            </w:r>
          </w:p>
        </w:tc>
        <w:tc>
          <w:tcPr>
            <w:tcW w:w="6237" w:type="dxa"/>
            <w:shd w:val="clear" w:color="auto" w:fill="9900FF"/>
          </w:tcPr>
          <w:p w14:paraId="2C6AF7C0" w14:textId="77777777" w:rsidR="00DE64A6" w:rsidRDefault="00000000">
            <w:pPr>
              <w:spacing w:line="360" w:lineRule="auto"/>
              <w:jc w:val="both"/>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 xml:space="preserve">Ester Maria </w:t>
            </w:r>
            <w:proofErr w:type="spellStart"/>
            <w:r>
              <w:rPr>
                <w:b/>
                <w:sz w:val="28"/>
                <w:szCs w:val="28"/>
              </w:rPr>
              <w:t>Kalogeroudi</w:t>
            </w:r>
            <w:proofErr w:type="spellEnd"/>
          </w:p>
        </w:tc>
      </w:tr>
      <w:tr w:rsidR="00DE64A6" w14:paraId="68890D86" w14:textId="77777777" w:rsidTr="00DE64A6">
        <w:trPr>
          <w:trHeight w:val="585"/>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9900FF"/>
          </w:tcPr>
          <w:p w14:paraId="440B9461" w14:textId="77777777" w:rsidR="00DE64A6" w:rsidRDefault="00000000">
            <w:pPr>
              <w:spacing w:line="360" w:lineRule="auto"/>
              <w:rPr>
                <w:sz w:val="28"/>
                <w:szCs w:val="28"/>
              </w:rPr>
            </w:pPr>
            <w:r>
              <w:rPr>
                <w:sz w:val="28"/>
                <w:szCs w:val="28"/>
              </w:rPr>
              <w:t xml:space="preserve">Contributor </w:t>
            </w:r>
          </w:p>
        </w:tc>
        <w:tc>
          <w:tcPr>
            <w:tcW w:w="6237" w:type="dxa"/>
            <w:shd w:val="clear" w:color="auto" w:fill="9900FF"/>
          </w:tcPr>
          <w:p w14:paraId="0B481CE4" w14:textId="77777777" w:rsidR="00DE64A6"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w:t>
            </w:r>
          </w:p>
        </w:tc>
      </w:tr>
      <w:tr w:rsidR="00DE64A6" w14:paraId="2502D7D8" w14:textId="77777777" w:rsidTr="00DE64A6">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9900FF"/>
          </w:tcPr>
          <w:p w14:paraId="6CD8BE72" w14:textId="77777777" w:rsidR="00DE64A6" w:rsidRDefault="00000000">
            <w:pPr>
              <w:spacing w:line="360" w:lineRule="auto"/>
              <w:rPr>
                <w:sz w:val="28"/>
                <w:szCs w:val="28"/>
              </w:rPr>
            </w:pPr>
            <w:r>
              <w:rPr>
                <w:sz w:val="28"/>
                <w:szCs w:val="28"/>
              </w:rPr>
              <w:t>Dissemination level</w:t>
            </w:r>
          </w:p>
        </w:tc>
        <w:tc>
          <w:tcPr>
            <w:tcW w:w="6237" w:type="dxa"/>
            <w:shd w:val="clear" w:color="auto" w:fill="9900FF"/>
          </w:tcPr>
          <w:p w14:paraId="520F036A" w14:textId="77777777" w:rsidR="00DE64A6" w:rsidRDefault="00000000">
            <w:pPr>
              <w:spacing w:line="360" w:lineRule="auto"/>
              <w:jc w:val="both"/>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 xml:space="preserve">Confidential, only for members of the consortium </w:t>
            </w:r>
          </w:p>
        </w:tc>
      </w:tr>
      <w:tr w:rsidR="00DE64A6" w14:paraId="6896B094" w14:textId="77777777" w:rsidTr="00DE64A6">
        <w:trPr>
          <w:trHeight w:val="528"/>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9900FF"/>
          </w:tcPr>
          <w:p w14:paraId="791F473E" w14:textId="77777777" w:rsidR="00DE64A6" w:rsidRDefault="00000000">
            <w:pPr>
              <w:spacing w:line="360" w:lineRule="auto"/>
              <w:rPr>
                <w:sz w:val="28"/>
                <w:szCs w:val="28"/>
              </w:rPr>
            </w:pPr>
            <w:r>
              <w:rPr>
                <w:sz w:val="28"/>
                <w:szCs w:val="28"/>
              </w:rPr>
              <w:t>Status</w:t>
            </w:r>
          </w:p>
        </w:tc>
        <w:tc>
          <w:tcPr>
            <w:tcW w:w="6237" w:type="dxa"/>
            <w:shd w:val="clear" w:color="auto" w:fill="9900FF"/>
          </w:tcPr>
          <w:p w14:paraId="3FFD0431" w14:textId="77777777" w:rsidR="00DE64A6"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 xml:space="preserve">Final </w:t>
            </w:r>
          </w:p>
        </w:tc>
      </w:tr>
      <w:tr w:rsidR="00DE64A6" w14:paraId="2A38557C" w14:textId="77777777" w:rsidTr="00DE64A6">
        <w:trPr>
          <w:cnfStyle w:val="000000100000" w:firstRow="0" w:lastRow="0" w:firstColumn="0" w:lastColumn="0" w:oddVBand="0" w:evenVBand="0" w:oddHBand="1" w:evenHBand="0" w:firstRowFirstColumn="0" w:firstRowLastColumn="0" w:lastRowFirstColumn="0" w:lastRowLastColumn="0"/>
          <w:trHeight w:val="607"/>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9900FF"/>
          </w:tcPr>
          <w:p w14:paraId="7801035E" w14:textId="77777777" w:rsidR="00DE64A6" w:rsidRDefault="00000000">
            <w:pPr>
              <w:spacing w:line="360" w:lineRule="auto"/>
              <w:rPr>
                <w:sz w:val="28"/>
                <w:szCs w:val="28"/>
              </w:rPr>
            </w:pPr>
            <w:r>
              <w:rPr>
                <w:sz w:val="28"/>
                <w:szCs w:val="28"/>
              </w:rPr>
              <w:t>Version</w:t>
            </w:r>
          </w:p>
        </w:tc>
        <w:tc>
          <w:tcPr>
            <w:tcW w:w="6237" w:type="dxa"/>
            <w:shd w:val="clear" w:color="auto" w:fill="9900FF"/>
          </w:tcPr>
          <w:p w14:paraId="59EB12AD" w14:textId="77777777" w:rsidR="00DE64A6" w:rsidRDefault="00000000">
            <w:pPr>
              <w:spacing w:line="360" w:lineRule="auto"/>
              <w:jc w:val="both"/>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 xml:space="preserve">1 </w:t>
            </w:r>
          </w:p>
        </w:tc>
      </w:tr>
      <w:tr w:rsidR="00DE64A6" w14:paraId="3C745C04" w14:textId="77777777" w:rsidTr="00DE64A6">
        <w:trPr>
          <w:trHeight w:val="607"/>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9900FF"/>
          </w:tcPr>
          <w:p w14:paraId="4E343955" w14:textId="77777777" w:rsidR="00DE64A6" w:rsidRDefault="00000000">
            <w:pPr>
              <w:spacing w:line="360" w:lineRule="auto"/>
              <w:rPr>
                <w:sz w:val="28"/>
                <w:szCs w:val="28"/>
              </w:rPr>
            </w:pPr>
            <w:r>
              <w:rPr>
                <w:sz w:val="28"/>
                <w:szCs w:val="28"/>
              </w:rPr>
              <w:t>Date</w:t>
            </w:r>
          </w:p>
        </w:tc>
        <w:tc>
          <w:tcPr>
            <w:tcW w:w="6237" w:type="dxa"/>
            <w:shd w:val="clear" w:color="auto" w:fill="9900FF"/>
          </w:tcPr>
          <w:p w14:paraId="44885010" w14:textId="77777777" w:rsidR="00DE64A6"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10/11/2021</w:t>
            </w:r>
          </w:p>
        </w:tc>
      </w:tr>
    </w:tbl>
    <w:p w14:paraId="56FAD600" w14:textId="77777777" w:rsidR="00DE64A6" w:rsidRDefault="00DE64A6">
      <w:pPr>
        <w:rPr>
          <w:rFonts w:ascii="Times New Roman" w:eastAsia="Times New Roman" w:hAnsi="Times New Roman" w:cs="Times New Roman"/>
          <w:b/>
        </w:rPr>
      </w:pPr>
    </w:p>
    <w:p w14:paraId="6FF0A1F4" w14:textId="77777777" w:rsidR="00DE64A6" w:rsidRDefault="00DE64A6">
      <w:pPr>
        <w:rPr>
          <w:rFonts w:ascii="Times New Roman" w:eastAsia="Times New Roman" w:hAnsi="Times New Roman" w:cs="Times New Roman"/>
          <w:b/>
        </w:rPr>
      </w:pPr>
    </w:p>
    <w:p w14:paraId="7D81F351" w14:textId="77777777" w:rsidR="00DE64A6" w:rsidRDefault="00DE64A6">
      <w:pPr>
        <w:spacing w:after="0" w:line="360" w:lineRule="auto"/>
      </w:pPr>
    </w:p>
    <w:p w14:paraId="7D6056FE" w14:textId="77777777" w:rsidR="00DE64A6" w:rsidRDefault="00DE64A6">
      <w:pPr>
        <w:spacing w:after="0" w:line="360" w:lineRule="auto"/>
      </w:pPr>
    </w:p>
    <w:p w14:paraId="73F6561E" w14:textId="77777777" w:rsidR="00DE64A6" w:rsidRDefault="00DE64A6">
      <w:pPr>
        <w:spacing w:after="0" w:line="360" w:lineRule="auto"/>
      </w:pPr>
    </w:p>
    <w:p w14:paraId="4C52A2E0" w14:textId="77777777" w:rsidR="00DE64A6" w:rsidRDefault="00000000">
      <w:pPr>
        <w:pBdr>
          <w:top w:val="nil"/>
          <w:left w:val="nil"/>
          <w:bottom w:val="nil"/>
          <w:right w:val="nil"/>
          <w:between w:val="nil"/>
        </w:pBdr>
        <w:spacing w:after="0" w:line="360" w:lineRule="auto"/>
        <w:jc w:val="center"/>
        <w:rPr>
          <w:color w:val="000000"/>
          <w:sz w:val="24"/>
          <w:szCs w:val="24"/>
        </w:rPr>
      </w:pPr>
      <w:r>
        <w:rPr>
          <w:color w:val="000000"/>
          <w:sz w:val="24"/>
          <w:szCs w:val="24"/>
        </w:rPr>
        <w:t>The project has been funded with support from the European Commission.</w:t>
      </w:r>
    </w:p>
    <w:p w14:paraId="193F4D75" w14:textId="77777777" w:rsidR="00DE64A6" w:rsidRDefault="00000000">
      <w:pPr>
        <w:pBdr>
          <w:top w:val="nil"/>
          <w:left w:val="nil"/>
          <w:bottom w:val="nil"/>
          <w:right w:val="nil"/>
          <w:between w:val="nil"/>
        </w:pBdr>
        <w:spacing w:after="0" w:line="360" w:lineRule="auto"/>
        <w:jc w:val="center"/>
        <w:rPr>
          <w:color w:val="000000"/>
          <w:sz w:val="24"/>
          <w:szCs w:val="24"/>
        </w:rPr>
      </w:pPr>
      <w:r>
        <w:rPr>
          <w:color w:val="000000"/>
          <w:sz w:val="24"/>
          <w:szCs w:val="24"/>
        </w:rPr>
        <w:t xml:space="preserve">The contents of this publication reflect only the author’s view and the Agency and the Commission are not responsible for any use that may be made of the information it contains. </w:t>
      </w:r>
    </w:p>
    <w:p w14:paraId="2C8B526E" w14:textId="77777777" w:rsidR="00DE64A6" w:rsidRDefault="00DE64A6">
      <w:pPr>
        <w:pBdr>
          <w:top w:val="nil"/>
          <w:left w:val="nil"/>
          <w:bottom w:val="nil"/>
          <w:right w:val="nil"/>
          <w:between w:val="nil"/>
        </w:pBdr>
        <w:spacing w:after="0" w:line="360" w:lineRule="auto"/>
        <w:rPr>
          <w:color w:val="2E75B5"/>
          <w:sz w:val="32"/>
          <w:szCs w:val="32"/>
        </w:rPr>
      </w:pPr>
    </w:p>
    <w:p w14:paraId="77E60007" w14:textId="77777777" w:rsidR="00DE64A6" w:rsidRDefault="00DE64A6">
      <w:pPr>
        <w:pBdr>
          <w:top w:val="nil"/>
          <w:left w:val="nil"/>
          <w:bottom w:val="nil"/>
          <w:right w:val="nil"/>
          <w:between w:val="nil"/>
        </w:pBdr>
        <w:spacing w:after="0" w:line="360" w:lineRule="auto"/>
        <w:rPr>
          <w:color w:val="2E75B5"/>
          <w:sz w:val="32"/>
          <w:szCs w:val="32"/>
        </w:rPr>
      </w:pPr>
    </w:p>
    <w:p w14:paraId="4D9C03FA" w14:textId="77777777" w:rsidR="00DE64A6" w:rsidRDefault="00DE64A6">
      <w:pPr>
        <w:pBdr>
          <w:top w:val="nil"/>
          <w:left w:val="nil"/>
          <w:bottom w:val="nil"/>
          <w:right w:val="nil"/>
          <w:between w:val="nil"/>
        </w:pBdr>
        <w:spacing w:after="0" w:line="360" w:lineRule="auto"/>
        <w:rPr>
          <w:color w:val="2E75B5"/>
          <w:sz w:val="32"/>
          <w:szCs w:val="32"/>
        </w:rPr>
      </w:pPr>
    </w:p>
    <w:p w14:paraId="75517C56" w14:textId="77777777" w:rsidR="00DE64A6" w:rsidRDefault="00DE64A6">
      <w:pPr>
        <w:spacing w:after="0" w:line="360" w:lineRule="auto"/>
        <w:rPr>
          <w:color w:val="2E75B5"/>
          <w:sz w:val="32"/>
          <w:szCs w:val="32"/>
        </w:rPr>
      </w:pPr>
    </w:p>
    <w:p w14:paraId="521BEC5F" w14:textId="77777777" w:rsidR="00DE64A6" w:rsidRDefault="00DE64A6">
      <w:pPr>
        <w:spacing w:after="0" w:line="360" w:lineRule="auto"/>
        <w:rPr>
          <w:color w:val="2E75B5"/>
          <w:sz w:val="32"/>
          <w:szCs w:val="32"/>
        </w:rPr>
      </w:pPr>
    </w:p>
    <w:p w14:paraId="1447DF8B" w14:textId="77777777" w:rsidR="00DE64A6" w:rsidRDefault="00000000">
      <w:pPr>
        <w:keepNext/>
        <w:keepLines/>
        <w:pBdr>
          <w:top w:val="nil"/>
          <w:left w:val="nil"/>
          <w:bottom w:val="single" w:sz="4" w:space="2" w:color="ED7D31"/>
          <w:right w:val="nil"/>
          <w:between w:val="nil"/>
        </w:pBdr>
        <w:spacing w:before="360" w:after="120" w:line="240" w:lineRule="auto"/>
        <w:rPr>
          <w:b/>
          <w:color w:val="262626"/>
          <w:sz w:val="40"/>
          <w:szCs w:val="40"/>
        </w:rPr>
      </w:pPr>
      <w:r>
        <w:rPr>
          <w:b/>
          <w:color w:val="262626"/>
          <w:sz w:val="40"/>
          <w:szCs w:val="40"/>
        </w:rPr>
        <w:t>Contents</w:t>
      </w:r>
    </w:p>
    <w:sdt>
      <w:sdtPr>
        <w:id w:val="221028383"/>
        <w:docPartObj>
          <w:docPartGallery w:val="Table of Contents"/>
          <w:docPartUnique/>
        </w:docPartObj>
      </w:sdtPr>
      <w:sdtContent>
        <w:p w14:paraId="2457819C" w14:textId="77777777" w:rsidR="00DE64A6" w:rsidRDefault="00000000">
          <w:pPr>
            <w:pBdr>
              <w:top w:val="nil"/>
              <w:left w:val="nil"/>
              <w:bottom w:val="nil"/>
              <w:right w:val="nil"/>
              <w:between w:val="nil"/>
            </w:pBdr>
            <w:tabs>
              <w:tab w:val="left" w:pos="440"/>
              <w:tab w:val="right" w:pos="9736"/>
            </w:tabs>
            <w:spacing w:after="0" w:line="360" w:lineRule="auto"/>
            <w:jc w:val="both"/>
            <w:rPr>
              <w:color w:val="000000"/>
              <w:sz w:val="22"/>
              <w:szCs w:val="22"/>
            </w:rPr>
          </w:pPr>
          <w:r>
            <w:fldChar w:fldCharType="begin"/>
          </w:r>
          <w:r>
            <w:instrText xml:space="preserve"> TOC \h \u \z </w:instrText>
          </w:r>
          <w:r>
            <w:fldChar w:fldCharType="separate"/>
          </w:r>
          <w:hyperlink w:anchor="_heading=h.2et92p0">
            <w:r>
              <w:rPr>
                <w:b/>
                <w:color w:val="000000"/>
              </w:rPr>
              <w:t>National Report Template</w:t>
            </w:r>
          </w:hyperlink>
          <w:hyperlink w:anchor="_heading=h.2et92p0">
            <w:r>
              <w:rPr>
                <w:color w:val="000000"/>
              </w:rPr>
              <w:tab/>
              <w:t>3</w:t>
            </w:r>
          </w:hyperlink>
        </w:p>
        <w:p w14:paraId="4C13F44B" w14:textId="77777777" w:rsidR="00DE64A6" w:rsidRDefault="00000000">
          <w:pPr>
            <w:pBdr>
              <w:top w:val="nil"/>
              <w:left w:val="nil"/>
              <w:bottom w:val="nil"/>
              <w:right w:val="nil"/>
              <w:between w:val="nil"/>
            </w:pBdr>
            <w:tabs>
              <w:tab w:val="right" w:pos="9736"/>
            </w:tabs>
            <w:spacing w:after="100"/>
            <w:ind w:left="440"/>
            <w:rPr>
              <w:color w:val="000000"/>
              <w:sz w:val="22"/>
              <w:szCs w:val="22"/>
            </w:rPr>
          </w:pPr>
          <w:hyperlink w:anchor="_heading=h.2s8eyo1">
            <w:r>
              <w:rPr>
                <w:color w:val="000000"/>
              </w:rPr>
              <w:t>Part A: Secondary/desk research results</w:t>
            </w:r>
            <w:r>
              <w:rPr>
                <w:color w:val="000000"/>
              </w:rPr>
              <w:tab/>
              <w:t>4</w:t>
            </w:r>
          </w:hyperlink>
        </w:p>
        <w:p w14:paraId="348FCB0C" w14:textId="77777777" w:rsidR="00DE64A6" w:rsidRDefault="00000000">
          <w:pPr>
            <w:pBdr>
              <w:top w:val="nil"/>
              <w:left w:val="nil"/>
              <w:bottom w:val="nil"/>
              <w:right w:val="nil"/>
              <w:between w:val="nil"/>
            </w:pBdr>
            <w:tabs>
              <w:tab w:val="right" w:pos="9736"/>
            </w:tabs>
            <w:spacing w:after="100"/>
            <w:ind w:left="440"/>
            <w:rPr>
              <w:color w:val="000000"/>
              <w:sz w:val="22"/>
              <w:szCs w:val="22"/>
            </w:rPr>
          </w:pPr>
          <w:hyperlink w:anchor="_heading=h.2jxsxqh">
            <w:r>
              <w:rPr>
                <w:color w:val="000000"/>
              </w:rPr>
              <w:t>Part B: Field/primary Research Results</w:t>
            </w:r>
            <w:r>
              <w:rPr>
                <w:color w:val="000000"/>
              </w:rPr>
              <w:tab/>
              <w:t>11</w:t>
            </w:r>
          </w:hyperlink>
        </w:p>
        <w:p w14:paraId="0B6D511F" w14:textId="77777777" w:rsidR="00DE64A6" w:rsidRDefault="00000000">
          <w:pPr>
            <w:pBdr>
              <w:top w:val="nil"/>
              <w:left w:val="nil"/>
              <w:bottom w:val="nil"/>
              <w:right w:val="nil"/>
              <w:between w:val="nil"/>
            </w:pBdr>
            <w:tabs>
              <w:tab w:val="right" w:pos="9736"/>
            </w:tabs>
            <w:spacing w:after="100"/>
            <w:ind w:left="630"/>
            <w:rPr>
              <w:color w:val="000000"/>
              <w:sz w:val="22"/>
              <w:szCs w:val="22"/>
            </w:rPr>
          </w:pPr>
          <w:hyperlink w:anchor="_heading=h.2bn6wsx">
            <w:r>
              <w:rPr>
                <w:color w:val="000000"/>
              </w:rPr>
              <w:t>Professionals</w:t>
            </w:r>
            <w:r>
              <w:rPr>
                <w:color w:val="000000"/>
              </w:rPr>
              <w:tab/>
              <w:t>11</w:t>
            </w:r>
          </w:hyperlink>
        </w:p>
        <w:p w14:paraId="7BCDC9DB" w14:textId="77777777" w:rsidR="00DE64A6" w:rsidRDefault="00000000">
          <w:pPr>
            <w:pBdr>
              <w:top w:val="nil"/>
              <w:left w:val="nil"/>
              <w:bottom w:val="nil"/>
              <w:right w:val="nil"/>
              <w:between w:val="nil"/>
            </w:pBdr>
            <w:tabs>
              <w:tab w:val="right" w:pos="9736"/>
            </w:tabs>
            <w:spacing w:after="100"/>
            <w:ind w:left="630"/>
            <w:rPr>
              <w:color w:val="000000"/>
              <w:sz w:val="22"/>
              <w:szCs w:val="22"/>
            </w:rPr>
          </w:pPr>
          <w:hyperlink w:anchor="_heading=h.qsh70q">
            <w:r>
              <w:rPr>
                <w:color w:val="000000"/>
              </w:rPr>
              <w:t>Receivers</w:t>
            </w:r>
            <w:r>
              <w:rPr>
                <w:color w:val="000000"/>
              </w:rPr>
              <w:tab/>
              <w:t>15</w:t>
            </w:r>
          </w:hyperlink>
        </w:p>
        <w:p w14:paraId="20C5CE39" w14:textId="77777777" w:rsidR="00DE64A6" w:rsidRDefault="00000000">
          <w:pPr>
            <w:pBdr>
              <w:top w:val="nil"/>
              <w:left w:val="nil"/>
              <w:bottom w:val="nil"/>
              <w:right w:val="nil"/>
              <w:between w:val="nil"/>
            </w:pBdr>
            <w:tabs>
              <w:tab w:val="right" w:pos="9736"/>
            </w:tabs>
            <w:spacing w:after="100"/>
            <w:ind w:left="440"/>
            <w:rPr>
              <w:color w:val="000000"/>
              <w:sz w:val="22"/>
              <w:szCs w:val="22"/>
            </w:rPr>
          </w:pPr>
          <w:hyperlink w:anchor="_heading=h.3as4poj">
            <w:r>
              <w:rPr>
                <w:color w:val="000000"/>
              </w:rPr>
              <w:t>Part C: General conclusions – comparative analysis between desk and field research findings</w:t>
            </w:r>
            <w:r>
              <w:rPr>
                <w:color w:val="000000"/>
              </w:rPr>
              <w:tab/>
              <w:t>19</w:t>
            </w:r>
          </w:hyperlink>
        </w:p>
        <w:p w14:paraId="5F851754" w14:textId="77777777" w:rsidR="00DE64A6" w:rsidRDefault="00000000">
          <w:pPr>
            <w:pBdr>
              <w:top w:val="nil"/>
              <w:left w:val="nil"/>
              <w:bottom w:val="nil"/>
              <w:right w:val="nil"/>
              <w:between w:val="nil"/>
            </w:pBdr>
            <w:tabs>
              <w:tab w:val="right" w:pos="9736"/>
            </w:tabs>
            <w:spacing w:after="100"/>
            <w:ind w:left="220"/>
            <w:rPr>
              <w:color w:val="000000"/>
              <w:sz w:val="22"/>
              <w:szCs w:val="22"/>
            </w:rPr>
          </w:pPr>
          <w:hyperlink w:anchor="_heading=h.1pxezwc">
            <w:r>
              <w:rPr>
                <w:color w:val="000000"/>
              </w:rPr>
              <w:t>REFERENCES</w:t>
            </w:r>
            <w:r>
              <w:rPr>
                <w:color w:val="000000"/>
              </w:rPr>
              <w:tab/>
              <w:t>22</w:t>
            </w:r>
          </w:hyperlink>
        </w:p>
        <w:p w14:paraId="0FDCDB51" w14:textId="77777777" w:rsidR="00DE64A6" w:rsidRDefault="00000000">
          <w:pPr>
            <w:spacing w:line="360" w:lineRule="auto"/>
            <w:rPr>
              <w:sz w:val="24"/>
              <w:szCs w:val="24"/>
            </w:rPr>
          </w:pPr>
          <w:r>
            <w:fldChar w:fldCharType="end"/>
          </w:r>
        </w:p>
      </w:sdtContent>
    </w:sdt>
    <w:p w14:paraId="26D67830" w14:textId="77777777" w:rsidR="00DE64A6" w:rsidRDefault="00DE64A6">
      <w:pPr>
        <w:spacing w:after="0" w:line="360" w:lineRule="auto"/>
        <w:jc w:val="both"/>
        <w:rPr>
          <w:sz w:val="32"/>
          <w:szCs w:val="32"/>
        </w:rPr>
      </w:pPr>
    </w:p>
    <w:p w14:paraId="0CCD810A" w14:textId="77777777" w:rsidR="00DE64A6" w:rsidRDefault="00DE64A6">
      <w:pPr>
        <w:spacing w:after="0" w:line="360" w:lineRule="auto"/>
        <w:jc w:val="both"/>
        <w:rPr>
          <w:sz w:val="32"/>
          <w:szCs w:val="32"/>
        </w:rPr>
      </w:pPr>
    </w:p>
    <w:p w14:paraId="42DC0791" w14:textId="77777777" w:rsidR="00DE64A6" w:rsidRDefault="00000000">
      <w:pPr>
        <w:pStyle w:val="Kop1"/>
        <w:rPr>
          <w:rFonts w:ascii="Calibri" w:eastAsia="Calibri" w:hAnsi="Calibri" w:cs="Calibri"/>
          <w:b/>
          <w:sz w:val="28"/>
          <w:szCs w:val="28"/>
        </w:rPr>
      </w:pPr>
      <w:bookmarkStart w:id="0" w:name="_heading=h.2et92p0" w:colFirst="0" w:colLast="0"/>
      <w:bookmarkEnd w:id="0"/>
      <w:r>
        <w:rPr>
          <w:rFonts w:ascii="Calibri" w:eastAsia="Calibri" w:hAnsi="Calibri" w:cs="Calibri"/>
          <w:b/>
          <w:color w:val="000000"/>
          <w:sz w:val="28"/>
          <w:szCs w:val="28"/>
        </w:rPr>
        <w:t>National Report Template</w:t>
      </w:r>
    </w:p>
    <w:p w14:paraId="0E1B2297" w14:textId="77777777" w:rsidR="00DE64A6" w:rsidRDefault="00DE64A6">
      <w:pPr>
        <w:spacing w:after="0"/>
      </w:pPr>
    </w:p>
    <w:p w14:paraId="420AB753" w14:textId="77777777" w:rsidR="00DE64A6" w:rsidRDefault="00000000">
      <w:pPr>
        <w:spacing w:after="0" w:line="360" w:lineRule="auto"/>
        <w:ind w:firstLine="360"/>
        <w:rPr>
          <w:sz w:val="24"/>
          <w:szCs w:val="24"/>
          <w:u w:val="single"/>
        </w:rPr>
      </w:pPr>
      <w:r>
        <w:rPr>
          <w:sz w:val="24"/>
          <w:szCs w:val="24"/>
          <w:u w:val="single"/>
        </w:rPr>
        <w:t>General guidelines:</w:t>
      </w:r>
    </w:p>
    <w:p w14:paraId="3027B508" w14:textId="77777777" w:rsidR="00DE64A6" w:rsidRDefault="00000000">
      <w:pPr>
        <w:numPr>
          <w:ilvl w:val="0"/>
          <w:numId w:val="1"/>
        </w:numPr>
        <w:pBdr>
          <w:top w:val="nil"/>
          <w:left w:val="nil"/>
          <w:bottom w:val="nil"/>
          <w:right w:val="nil"/>
          <w:between w:val="nil"/>
        </w:pBdr>
        <w:spacing w:after="0" w:line="360" w:lineRule="auto"/>
        <w:ind w:left="357" w:hanging="357"/>
        <w:jc w:val="both"/>
        <w:rPr>
          <w:b/>
          <w:color w:val="000000"/>
          <w:sz w:val="24"/>
          <w:szCs w:val="24"/>
        </w:rPr>
      </w:pPr>
      <w:r>
        <w:rPr>
          <w:color w:val="000000"/>
          <w:sz w:val="24"/>
          <w:szCs w:val="24"/>
        </w:rPr>
        <w:t>Font:  Calibri</w:t>
      </w:r>
    </w:p>
    <w:p w14:paraId="7E58D17D" w14:textId="77777777" w:rsidR="00DE64A6" w:rsidRDefault="00000000">
      <w:pPr>
        <w:numPr>
          <w:ilvl w:val="0"/>
          <w:numId w:val="1"/>
        </w:numPr>
        <w:pBdr>
          <w:top w:val="nil"/>
          <w:left w:val="nil"/>
          <w:bottom w:val="nil"/>
          <w:right w:val="nil"/>
          <w:between w:val="nil"/>
        </w:pBdr>
        <w:spacing w:after="0" w:line="360" w:lineRule="auto"/>
        <w:ind w:left="357" w:hanging="357"/>
        <w:jc w:val="both"/>
        <w:rPr>
          <w:b/>
          <w:color w:val="000000"/>
          <w:sz w:val="24"/>
          <w:szCs w:val="24"/>
        </w:rPr>
      </w:pPr>
      <w:r>
        <w:rPr>
          <w:color w:val="000000"/>
          <w:sz w:val="24"/>
          <w:szCs w:val="24"/>
        </w:rPr>
        <w:t>Font size: - 11</w:t>
      </w:r>
    </w:p>
    <w:p w14:paraId="3069A398" w14:textId="77777777" w:rsidR="00DE64A6" w:rsidRDefault="00000000">
      <w:pPr>
        <w:numPr>
          <w:ilvl w:val="0"/>
          <w:numId w:val="1"/>
        </w:numPr>
        <w:pBdr>
          <w:top w:val="nil"/>
          <w:left w:val="nil"/>
          <w:bottom w:val="nil"/>
          <w:right w:val="nil"/>
          <w:between w:val="nil"/>
        </w:pBdr>
        <w:spacing w:after="0" w:line="360" w:lineRule="auto"/>
        <w:ind w:left="357" w:hanging="357"/>
        <w:jc w:val="both"/>
        <w:rPr>
          <w:b/>
          <w:color w:val="000000"/>
          <w:sz w:val="24"/>
          <w:szCs w:val="24"/>
        </w:rPr>
      </w:pPr>
      <w:r>
        <w:rPr>
          <w:color w:val="000000"/>
          <w:sz w:val="24"/>
          <w:szCs w:val="24"/>
        </w:rPr>
        <w:t>Line space 1,5</w:t>
      </w:r>
    </w:p>
    <w:p w14:paraId="5FB5C95F" w14:textId="77777777" w:rsidR="00DE64A6" w:rsidRDefault="00000000">
      <w:pPr>
        <w:numPr>
          <w:ilvl w:val="0"/>
          <w:numId w:val="1"/>
        </w:numPr>
        <w:pBdr>
          <w:top w:val="nil"/>
          <w:left w:val="nil"/>
          <w:bottom w:val="nil"/>
          <w:right w:val="nil"/>
          <w:between w:val="nil"/>
        </w:pBdr>
        <w:spacing w:after="0" w:line="360" w:lineRule="auto"/>
        <w:ind w:left="357" w:hanging="357"/>
        <w:jc w:val="both"/>
        <w:rPr>
          <w:b/>
          <w:color w:val="000000"/>
          <w:sz w:val="24"/>
          <w:szCs w:val="24"/>
        </w:rPr>
      </w:pPr>
      <w:r>
        <w:rPr>
          <w:color w:val="000000"/>
          <w:sz w:val="24"/>
          <w:szCs w:val="24"/>
        </w:rPr>
        <w:t>No spaces between paragraphs</w:t>
      </w:r>
    </w:p>
    <w:p w14:paraId="5BFB2278" w14:textId="77777777" w:rsidR="00DE64A6" w:rsidRDefault="00000000">
      <w:pPr>
        <w:numPr>
          <w:ilvl w:val="0"/>
          <w:numId w:val="1"/>
        </w:numPr>
        <w:pBdr>
          <w:top w:val="nil"/>
          <w:left w:val="nil"/>
          <w:bottom w:val="nil"/>
          <w:right w:val="nil"/>
          <w:between w:val="nil"/>
        </w:pBdr>
        <w:spacing w:after="0" w:line="360" w:lineRule="auto"/>
        <w:ind w:left="357" w:hanging="357"/>
        <w:jc w:val="both"/>
        <w:rPr>
          <w:b/>
          <w:color w:val="000000"/>
          <w:sz w:val="24"/>
          <w:szCs w:val="24"/>
        </w:rPr>
      </w:pPr>
      <w:r>
        <w:rPr>
          <w:color w:val="000000"/>
          <w:sz w:val="24"/>
          <w:szCs w:val="24"/>
        </w:rPr>
        <w:t>Footnotes at the end of the page</w:t>
      </w:r>
    </w:p>
    <w:p w14:paraId="4C663115" w14:textId="77777777" w:rsidR="00DE64A6" w:rsidRDefault="00000000">
      <w:pPr>
        <w:numPr>
          <w:ilvl w:val="0"/>
          <w:numId w:val="1"/>
        </w:numPr>
        <w:pBdr>
          <w:top w:val="nil"/>
          <w:left w:val="nil"/>
          <w:bottom w:val="nil"/>
          <w:right w:val="nil"/>
          <w:between w:val="nil"/>
        </w:pBdr>
        <w:spacing w:after="0" w:line="360" w:lineRule="auto"/>
        <w:ind w:left="357" w:hanging="357"/>
        <w:jc w:val="both"/>
        <w:rPr>
          <w:b/>
          <w:color w:val="000000"/>
          <w:sz w:val="24"/>
          <w:szCs w:val="24"/>
        </w:rPr>
      </w:pPr>
      <w:r>
        <w:rPr>
          <w:color w:val="000000"/>
          <w:sz w:val="24"/>
          <w:szCs w:val="24"/>
        </w:rPr>
        <w:t>APA Referencing Style</w:t>
      </w:r>
      <w:r>
        <w:rPr>
          <w:color w:val="000000"/>
          <w:sz w:val="24"/>
          <w:szCs w:val="24"/>
          <w:vertAlign w:val="superscript"/>
        </w:rPr>
        <w:footnoteReference w:id="1"/>
      </w:r>
    </w:p>
    <w:p w14:paraId="0775C428" w14:textId="77777777" w:rsidR="00DE64A6" w:rsidRDefault="00000000">
      <w:pPr>
        <w:numPr>
          <w:ilvl w:val="0"/>
          <w:numId w:val="1"/>
        </w:numPr>
        <w:pBdr>
          <w:top w:val="nil"/>
          <w:left w:val="nil"/>
          <w:bottom w:val="nil"/>
          <w:right w:val="nil"/>
          <w:between w:val="nil"/>
        </w:pBdr>
        <w:spacing w:after="0" w:line="360" w:lineRule="auto"/>
        <w:ind w:left="357" w:hanging="357"/>
        <w:jc w:val="both"/>
        <w:rPr>
          <w:color w:val="000000"/>
          <w:sz w:val="24"/>
          <w:szCs w:val="24"/>
        </w:rPr>
      </w:pPr>
      <w:r>
        <w:rPr>
          <w:color w:val="000000"/>
          <w:sz w:val="24"/>
          <w:szCs w:val="24"/>
        </w:rPr>
        <w:t>Approximately 5000-8000 words</w:t>
      </w:r>
      <w:r>
        <w:t xml:space="preserve"> </w:t>
      </w:r>
    </w:p>
    <w:p w14:paraId="4BF2D79F" w14:textId="77777777" w:rsidR="00DE64A6" w:rsidRDefault="00000000">
      <w:pPr>
        <w:numPr>
          <w:ilvl w:val="0"/>
          <w:numId w:val="1"/>
        </w:numPr>
        <w:pBdr>
          <w:top w:val="nil"/>
          <w:left w:val="nil"/>
          <w:bottom w:val="nil"/>
          <w:right w:val="nil"/>
          <w:between w:val="nil"/>
        </w:pBdr>
        <w:spacing w:after="0" w:line="360" w:lineRule="auto"/>
        <w:ind w:left="357" w:hanging="357"/>
        <w:jc w:val="both"/>
        <w:rPr>
          <w:color w:val="000000"/>
          <w:sz w:val="24"/>
          <w:szCs w:val="24"/>
        </w:rPr>
      </w:pPr>
      <w:r>
        <w:rPr>
          <w:color w:val="000000"/>
          <w:sz w:val="24"/>
          <w:szCs w:val="24"/>
        </w:rPr>
        <w:t xml:space="preserve">Using the project’s template for deliverables </w:t>
      </w:r>
    </w:p>
    <w:p w14:paraId="3E46C53B" w14:textId="77777777" w:rsidR="00DE64A6" w:rsidRDefault="00DE64A6">
      <w:pPr>
        <w:spacing w:after="0" w:line="360" w:lineRule="auto"/>
        <w:rPr>
          <w:sz w:val="24"/>
          <w:szCs w:val="24"/>
        </w:rPr>
      </w:pPr>
    </w:p>
    <w:p w14:paraId="3C093370" w14:textId="77777777" w:rsidR="00DE64A6" w:rsidRDefault="00000000">
      <w:pPr>
        <w:spacing w:after="0" w:line="360" w:lineRule="auto"/>
        <w:rPr>
          <w:b/>
          <w:sz w:val="24"/>
          <w:szCs w:val="24"/>
          <w:u w:val="single"/>
        </w:rPr>
      </w:pPr>
      <w:r>
        <w:rPr>
          <w:b/>
          <w:sz w:val="24"/>
          <w:szCs w:val="24"/>
          <w:u w:val="single"/>
        </w:rPr>
        <w:t>Part &amp; Sections:</w:t>
      </w:r>
    </w:p>
    <w:p w14:paraId="480722B5" w14:textId="77777777" w:rsidR="00DE64A6" w:rsidRDefault="00DE64A6">
      <w:pPr>
        <w:spacing w:after="0" w:line="360" w:lineRule="auto"/>
        <w:rPr>
          <w:b/>
          <w:sz w:val="24"/>
          <w:szCs w:val="24"/>
          <w:u w:val="single"/>
        </w:rPr>
      </w:pPr>
    </w:p>
    <w:p w14:paraId="54CB5D7C" w14:textId="77777777" w:rsidR="00DE64A6" w:rsidRDefault="00000000">
      <w:pPr>
        <w:pStyle w:val="Kop3"/>
      </w:pPr>
      <w:bookmarkStart w:id="1" w:name="_heading=h.2s8eyo1" w:colFirst="0" w:colLast="0"/>
      <w:bookmarkEnd w:id="1"/>
      <w:r>
        <w:t>Part A: Secondary/desk research results</w:t>
      </w:r>
    </w:p>
    <w:p w14:paraId="18CE2ED3" w14:textId="77777777" w:rsidR="00DE64A6" w:rsidRDefault="00DE64A6">
      <w:pPr>
        <w:spacing w:after="0" w:line="360" w:lineRule="auto"/>
        <w:rPr>
          <w:b/>
          <w:sz w:val="24"/>
          <w:szCs w:val="24"/>
          <w:u w:val="single"/>
        </w:rPr>
      </w:pPr>
    </w:p>
    <w:p w14:paraId="38E700C9" w14:textId="77777777" w:rsidR="00DE64A6" w:rsidRDefault="00000000">
      <w:pPr>
        <w:pBdr>
          <w:top w:val="nil"/>
          <w:left w:val="nil"/>
          <w:bottom w:val="nil"/>
          <w:right w:val="nil"/>
          <w:between w:val="nil"/>
        </w:pBdr>
        <w:spacing w:after="0" w:line="360" w:lineRule="auto"/>
        <w:jc w:val="both"/>
        <w:rPr>
          <w:color w:val="000000"/>
          <w:sz w:val="24"/>
          <w:szCs w:val="24"/>
        </w:rPr>
      </w:pPr>
      <w:r>
        <w:rPr>
          <w:b/>
          <w:color w:val="000000"/>
          <w:sz w:val="24"/>
          <w:szCs w:val="24"/>
        </w:rPr>
        <w:t xml:space="preserve">1. Challenges faced by LGBTQI people in the country, during the Covid-19 pandemic </w:t>
      </w:r>
      <w:r>
        <w:rPr>
          <w:color w:val="000000"/>
          <w:sz w:val="24"/>
          <w:szCs w:val="24"/>
        </w:rPr>
        <w:t>(approx. 700 words)</w:t>
      </w:r>
    </w:p>
    <w:p w14:paraId="1115F856" w14:textId="77777777" w:rsidR="00DE64A6" w:rsidRDefault="00000000">
      <w:pPr>
        <w:pBdr>
          <w:top w:val="nil"/>
          <w:left w:val="nil"/>
          <w:bottom w:val="nil"/>
          <w:right w:val="nil"/>
          <w:between w:val="nil"/>
        </w:pBdr>
        <w:spacing w:after="0" w:line="360" w:lineRule="auto"/>
        <w:jc w:val="both"/>
        <w:rPr>
          <w:color w:val="000000"/>
          <w:sz w:val="24"/>
          <w:szCs w:val="24"/>
        </w:rPr>
      </w:pPr>
      <w:r>
        <w:rPr>
          <w:color w:val="000000"/>
          <w:sz w:val="24"/>
          <w:szCs w:val="24"/>
        </w:rPr>
        <w:t xml:space="preserve">Data and statistics regarding discrimination on the grounds of sexual orientation, gender identity and/or sex characteristics - as well as other challenges and obstacles e.g. accessibility difficulties, lack of LGBTQI-focused services etc. that LGBTQI people (may) face - particularly in support services sector including </w:t>
      </w:r>
      <w:r>
        <w:rPr>
          <w:b/>
          <w:color w:val="000000"/>
          <w:sz w:val="24"/>
          <w:szCs w:val="24"/>
        </w:rPr>
        <w:t>psychosocial services, health services, career counselling services, educational/training services, information/referral services</w:t>
      </w:r>
      <w:r>
        <w:rPr>
          <w:color w:val="000000"/>
          <w:sz w:val="24"/>
          <w:szCs w:val="24"/>
        </w:rPr>
        <w:t>, provided by both the public and the private (including CSO organizations) sector, during the Covid-19 pandemic (or at least a year ago). ("A long way to go for LGBTI equality", 2021)</w:t>
      </w:r>
    </w:p>
    <w:p w14:paraId="12E4C281" w14:textId="77777777" w:rsidR="00DE64A6" w:rsidRDefault="00DE64A6">
      <w:pPr>
        <w:pBdr>
          <w:top w:val="nil"/>
          <w:left w:val="nil"/>
          <w:bottom w:val="nil"/>
          <w:right w:val="nil"/>
          <w:between w:val="nil"/>
        </w:pBdr>
        <w:spacing w:after="0" w:line="360" w:lineRule="auto"/>
        <w:jc w:val="both"/>
        <w:rPr>
          <w:color w:val="000000"/>
          <w:sz w:val="24"/>
          <w:szCs w:val="24"/>
        </w:rPr>
      </w:pPr>
    </w:p>
    <w:p w14:paraId="6D06785F" w14:textId="77777777" w:rsidR="00DE64A6" w:rsidRDefault="00000000">
      <w:pPr>
        <w:pBdr>
          <w:top w:val="nil"/>
          <w:left w:val="nil"/>
          <w:bottom w:val="nil"/>
          <w:right w:val="nil"/>
          <w:between w:val="nil"/>
        </w:pBdr>
        <w:spacing w:after="0" w:line="360" w:lineRule="auto"/>
        <w:jc w:val="both"/>
        <w:rPr>
          <w:color w:val="000000"/>
          <w:sz w:val="24"/>
          <w:szCs w:val="24"/>
        </w:rPr>
      </w:pPr>
      <w:r>
        <w:rPr>
          <w:color w:val="000000"/>
          <w:sz w:val="24"/>
          <w:szCs w:val="24"/>
        </w:rPr>
        <w:t>The information below summarizes the country data for Luxembourg in a nutshell. ("A long way to go for LGBTI equality", 2021) 40% avoid often or always holding hands with their same-sex partner in Luxembourg. For the EU-28, it is 61%. 19% in Luxembourg avoid often or always certain locations for fear of being assaulted. For the EU-28, it is 33%. 56% are now often or always open about being LGBT in Luxembourg. For the EU-28, it is 47%.</w:t>
      </w:r>
    </w:p>
    <w:p w14:paraId="2C44C67B" w14:textId="77777777" w:rsidR="00DE64A6" w:rsidRDefault="00000000">
      <w:pPr>
        <w:pBdr>
          <w:top w:val="nil"/>
          <w:left w:val="nil"/>
          <w:bottom w:val="nil"/>
          <w:right w:val="nil"/>
          <w:between w:val="nil"/>
        </w:pBdr>
        <w:spacing w:after="0" w:line="360" w:lineRule="auto"/>
        <w:jc w:val="both"/>
        <w:rPr>
          <w:color w:val="000000"/>
          <w:sz w:val="24"/>
          <w:szCs w:val="24"/>
        </w:rPr>
      </w:pPr>
      <w:r>
        <w:rPr>
          <w:color w:val="000000"/>
          <w:sz w:val="24"/>
          <w:szCs w:val="24"/>
        </w:rPr>
        <w:t>Regarding discrimination, 12% felt discriminated against at work in the year before the survey in Luxembourg. For the EU-28, it is 21%. Discrimination affects many areas of life, such as going to a café, restaurant, and hospital or to a shop. Overall, in Luxembourg in 2019 40% felt discriminated against in at least one area of life in the year before the survey. For the EU-28, it was 42%.</w:t>
      </w:r>
    </w:p>
    <w:p w14:paraId="657F1ACC" w14:textId="77777777" w:rsidR="00DE64A6" w:rsidRDefault="00000000">
      <w:pPr>
        <w:pBdr>
          <w:top w:val="nil"/>
          <w:left w:val="nil"/>
          <w:bottom w:val="nil"/>
          <w:right w:val="nil"/>
          <w:between w:val="nil"/>
        </w:pBdr>
        <w:spacing w:after="0" w:line="360" w:lineRule="auto"/>
        <w:jc w:val="both"/>
        <w:rPr>
          <w:color w:val="000000"/>
          <w:sz w:val="24"/>
          <w:szCs w:val="24"/>
        </w:rPr>
      </w:pPr>
      <w:r>
        <w:rPr>
          <w:color w:val="000000"/>
          <w:sz w:val="24"/>
          <w:szCs w:val="24"/>
        </w:rPr>
        <w:t>Regarding harassment and violence, 37% in Luxembourg say they were harassed the year before the survey. The EU-28 is 38%. 1 in 5 trans and intersex people were physically or sexually attacked in the five years before the survey, double that of other LGBTI groups. 10% in Luxembourg had been attacked in the 5 years before the survey. The EU-28 is 11%.</w:t>
      </w:r>
    </w:p>
    <w:p w14:paraId="5833F433" w14:textId="77777777" w:rsidR="00DE64A6" w:rsidRDefault="00000000">
      <w:pPr>
        <w:pBdr>
          <w:top w:val="nil"/>
          <w:left w:val="nil"/>
          <w:bottom w:val="nil"/>
          <w:right w:val="nil"/>
          <w:between w:val="nil"/>
        </w:pBdr>
        <w:spacing w:after="0" w:line="360" w:lineRule="auto"/>
        <w:jc w:val="both"/>
        <w:rPr>
          <w:color w:val="000000"/>
          <w:sz w:val="24"/>
          <w:szCs w:val="24"/>
        </w:rPr>
      </w:pPr>
      <w:r>
        <w:rPr>
          <w:color w:val="000000"/>
          <w:sz w:val="24"/>
          <w:szCs w:val="24"/>
        </w:rPr>
        <w:t xml:space="preserve"> </w:t>
      </w:r>
    </w:p>
    <w:p w14:paraId="5C2C3E8A" w14:textId="77777777" w:rsidR="00DE64A6" w:rsidRDefault="00000000">
      <w:pPr>
        <w:pBdr>
          <w:top w:val="nil"/>
          <w:left w:val="nil"/>
          <w:bottom w:val="nil"/>
          <w:right w:val="nil"/>
          <w:between w:val="nil"/>
        </w:pBdr>
        <w:spacing w:after="0" w:line="360" w:lineRule="auto"/>
        <w:jc w:val="both"/>
        <w:rPr>
          <w:color w:val="000000"/>
          <w:sz w:val="24"/>
          <w:szCs w:val="24"/>
        </w:rPr>
      </w:pPr>
      <w:r>
        <w:rPr>
          <w:color w:val="000000"/>
          <w:sz w:val="24"/>
          <w:szCs w:val="24"/>
        </w:rPr>
        <w:t xml:space="preserve">Reporting of hate-motivated violence and discrimination shows that: 2% went to the police in Luxembourg to report physical or sexual attacks. It is 14% across the EU-28. 19% reported their </w:t>
      </w:r>
      <w:r>
        <w:rPr>
          <w:color w:val="000000"/>
          <w:sz w:val="24"/>
          <w:szCs w:val="24"/>
        </w:rPr>
        <w:lastRenderedPageBreak/>
        <w:t>discrimination experiences to an equality body or another organisation in Luxembourg. For the EU-28, it is 11%.</w:t>
      </w:r>
    </w:p>
    <w:p w14:paraId="28681132" w14:textId="77777777" w:rsidR="00DE64A6" w:rsidRDefault="00000000">
      <w:pPr>
        <w:pBdr>
          <w:top w:val="nil"/>
          <w:left w:val="nil"/>
          <w:bottom w:val="nil"/>
          <w:right w:val="nil"/>
          <w:between w:val="nil"/>
        </w:pBdr>
        <w:spacing w:after="0" w:line="360" w:lineRule="auto"/>
        <w:jc w:val="both"/>
        <w:rPr>
          <w:color w:val="000000"/>
          <w:sz w:val="24"/>
          <w:szCs w:val="24"/>
        </w:rPr>
      </w:pPr>
      <w:r>
        <w:rPr>
          <w:color w:val="000000"/>
          <w:sz w:val="24"/>
          <w:szCs w:val="24"/>
        </w:rPr>
        <w:t>In terms of intolerance and prejudice 51% in Luxembourg say that LGBTI prejudice and intolerance has dropped in their country in the last five years. It is 40% across the EU-28. 10% in Luxembourg say that prejudice and intolerance have risen. This is 36% for the EU-28. 75% in Luxembourg believe their national government effectively combats prejudice and intolerance against LGBTI people. For the EU-28, it is 33%.</w:t>
      </w:r>
    </w:p>
    <w:p w14:paraId="3B687592" w14:textId="77777777" w:rsidR="00DE64A6" w:rsidRDefault="00DE64A6">
      <w:pPr>
        <w:pBdr>
          <w:top w:val="nil"/>
          <w:left w:val="nil"/>
          <w:bottom w:val="nil"/>
          <w:right w:val="nil"/>
          <w:between w:val="nil"/>
        </w:pBdr>
        <w:spacing w:after="0" w:line="360" w:lineRule="auto"/>
        <w:jc w:val="both"/>
        <w:rPr>
          <w:color w:val="000000"/>
          <w:sz w:val="24"/>
          <w:szCs w:val="24"/>
        </w:rPr>
      </w:pPr>
    </w:p>
    <w:p w14:paraId="317323AD" w14:textId="77777777" w:rsidR="00DE64A6" w:rsidRDefault="00000000">
      <w:pPr>
        <w:pBdr>
          <w:top w:val="nil"/>
          <w:left w:val="nil"/>
          <w:bottom w:val="nil"/>
          <w:right w:val="nil"/>
          <w:between w:val="nil"/>
        </w:pBdr>
        <w:spacing w:after="0" w:line="360" w:lineRule="auto"/>
        <w:jc w:val="both"/>
        <w:rPr>
          <w:color w:val="000000"/>
          <w:sz w:val="24"/>
          <w:szCs w:val="24"/>
        </w:rPr>
      </w:pPr>
      <w:r>
        <w:rPr>
          <w:color w:val="000000"/>
          <w:sz w:val="24"/>
          <w:szCs w:val="24"/>
        </w:rPr>
        <w:t>When it comes to the educational context among young people (18-24), less people (41%) hide being LGBT at school. 11% of LGBTI students (15-17 years old) in Luxembourg say were hiding being LGBTI at school. This was 30% in the EU-28. 58% of LGBTI students (15-17 years old) in Luxembourg say that in school someone often or always supported, defended or protected their rights as an LGBTI person. This was 48% in the EU-28.</w:t>
      </w:r>
    </w:p>
    <w:p w14:paraId="292C822F" w14:textId="77777777" w:rsidR="00DE64A6" w:rsidRDefault="00000000">
      <w:pPr>
        <w:pBdr>
          <w:top w:val="nil"/>
          <w:left w:val="nil"/>
          <w:bottom w:val="nil"/>
          <w:right w:val="nil"/>
          <w:between w:val="nil"/>
        </w:pBdr>
        <w:spacing w:after="0" w:line="360" w:lineRule="auto"/>
        <w:jc w:val="both"/>
        <w:rPr>
          <w:color w:val="000000"/>
          <w:sz w:val="24"/>
          <w:szCs w:val="24"/>
        </w:rPr>
      </w:pPr>
      <w:r>
        <w:rPr>
          <w:color w:val="000000"/>
          <w:sz w:val="24"/>
          <w:szCs w:val="24"/>
        </w:rPr>
        <w:t>68% of LGBTI teenager respondents (15-17 years old) in Luxembourg say their peers or teachers have often or always supported LGBTI people. In the EU-28, this was 60%. 35% of LGBTI of teenager respondents (15-17 years old) in Luxembourg say their school education at some point addressed LGBTI issues positively or in a balanced way. In the EU-28, this was 33%. ("A long way to go for LGBTI equality", 2021)</w:t>
      </w:r>
    </w:p>
    <w:p w14:paraId="2B8B12DA" w14:textId="77777777" w:rsidR="00DE64A6" w:rsidRDefault="00DE64A6">
      <w:pPr>
        <w:pBdr>
          <w:top w:val="nil"/>
          <w:left w:val="nil"/>
          <w:bottom w:val="nil"/>
          <w:right w:val="nil"/>
          <w:between w:val="nil"/>
        </w:pBdr>
        <w:spacing w:after="0" w:line="360" w:lineRule="auto"/>
        <w:jc w:val="both"/>
        <w:rPr>
          <w:color w:val="000000"/>
          <w:sz w:val="24"/>
          <w:szCs w:val="24"/>
        </w:rPr>
      </w:pPr>
    </w:p>
    <w:p w14:paraId="115EFD81" w14:textId="77777777" w:rsidR="00DE64A6" w:rsidRDefault="00000000">
      <w:pPr>
        <w:pBdr>
          <w:top w:val="nil"/>
          <w:left w:val="nil"/>
          <w:bottom w:val="nil"/>
          <w:right w:val="nil"/>
          <w:between w:val="nil"/>
        </w:pBdr>
        <w:spacing w:after="0" w:line="360" w:lineRule="auto"/>
        <w:jc w:val="both"/>
        <w:rPr>
          <w:b/>
          <w:color w:val="000000"/>
          <w:sz w:val="24"/>
          <w:szCs w:val="24"/>
        </w:rPr>
      </w:pPr>
      <w:r>
        <w:rPr>
          <w:b/>
          <w:color w:val="000000"/>
          <w:sz w:val="24"/>
          <w:szCs w:val="24"/>
        </w:rPr>
        <w:t xml:space="preserve">2. Good practices and initiatives at national level </w:t>
      </w:r>
      <w:r>
        <w:rPr>
          <w:color w:val="000000"/>
          <w:sz w:val="24"/>
          <w:szCs w:val="24"/>
        </w:rPr>
        <w:t>(approx. 700 words)</w:t>
      </w:r>
    </w:p>
    <w:p w14:paraId="042FFC35" w14:textId="77777777" w:rsidR="00DE64A6" w:rsidRDefault="00000000">
      <w:pPr>
        <w:pBdr>
          <w:top w:val="nil"/>
          <w:left w:val="nil"/>
          <w:bottom w:val="nil"/>
          <w:right w:val="nil"/>
          <w:between w:val="nil"/>
        </w:pBdr>
        <w:spacing w:after="0" w:line="360" w:lineRule="auto"/>
        <w:jc w:val="both"/>
        <w:rPr>
          <w:color w:val="000000"/>
          <w:sz w:val="24"/>
          <w:szCs w:val="24"/>
        </w:rPr>
      </w:pPr>
      <w:r>
        <w:rPr>
          <w:color w:val="000000"/>
          <w:sz w:val="24"/>
          <w:szCs w:val="24"/>
        </w:rPr>
        <w:t xml:space="preserve">Description of good practices and initiatives (e.g., services, projects, campaigns, development of specific material etc.) - including government policies - implemented in the country by both the public and the private/CSO sector during the </w:t>
      </w:r>
      <w:r>
        <w:rPr>
          <w:color w:val="000000"/>
          <w:sz w:val="24"/>
          <w:szCs w:val="24"/>
          <w:u w:val="single"/>
        </w:rPr>
        <w:t>Covid-19 era</w:t>
      </w:r>
      <w:r>
        <w:rPr>
          <w:color w:val="000000"/>
          <w:sz w:val="24"/>
          <w:szCs w:val="24"/>
        </w:rPr>
        <w:t>, for example support services provided to people in need in general and/or LGBTQI people in particular.</w:t>
      </w:r>
    </w:p>
    <w:p w14:paraId="3FEB3586" w14:textId="77777777" w:rsidR="00DE64A6" w:rsidRDefault="00DE64A6">
      <w:pPr>
        <w:pBdr>
          <w:top w:val="nil"/>
          <w:left w:val="nil"/>
          <w:bottom w:val="nil"/>
          <w:right w:val="nil"/>
          <w:between w:val="nil"/>
        </w:pBdr>
        <w:spacing w:after="0" w:line="360" w:lineRule="auto"/>
        <w:jc w:val="both"/>
        <w:rPr>
          <w:color w:val="000000"/>
          <w:sz w:val="24"/>
          <w:szCs w:val="24"/>
        </w:rPr>
      </w:pPr>
    </w:p>
    <w:p w14:paraId="3D713F54" w14:textId="77777777" w:rsidR="00DE64A6" w:rsidRDefault="00000000">
      <w:pPr>
        <w:pBdr>
          <w:top w:val="nil"/>
          <w:left w:val="nil"/>
          <w:bottom w:val="nil"/>
          <w:right w:val="nil"/>
          <w:between w:val="nil"/>
        </w:pBdr>
        <w:spacing w:after="0" w:line="360" w:lineRule="auto"/>
        <w:jc w:val="both"/>
        <w:rPr>
          <w:color w:val="000000"/>
          <w:sz w:val="24"/>
          <w:szCs w:val="24"/>
        </w:rPr>
      </w:pPr>
      <w:r>
        <w:rPr>
          <w:color w:val="000000"/>
          <w:sz w:val="24"/>
          <w:szCs w:val="24"/>
        </w:rPr>
        <w:t xml:space="preserve">Ensure that LGBTI people — lesbians, gay men, bisexuals, transgender, and intersex persons – may live as themselves without fear of discrimination or violence is a </w:t>
      </w:r>
      <w:r>
        <w:rPr>
          <w:b/>
          <w:color w:val="000000"/>
          <w:sz w:val="24"/>
          <w:szCs w:val="24"/>
        </w:rPr>
        <w:t>priority</w:t>
      </w:r>
      <w:r>
        <w:rPr>
          <w:color w:val="000000"/>
          <w:sz w:val="24"/>
          <w:szCs w:val="24"/>
        </w:rPr>
        <w:t xml:space="preserve"> for Luxembourg. Discrimination against LGBTI individuals continues to be widespread. It not only damages the LGBTI community, but it also harms society as a whole. Bullying at school reduces investment in human </w:t>
      </w:r>
      <w:r>
        <w:rPr>
          <w:color w:val="000000"/>
          <w:sz w:val="24"/>
          <w:szCs w:val="24"/>
        </w:rPr>
        <w:lastRenderedPageBreak/>
        <w:t xml:space="preserve">capital, as well as reduced returns on educational investments in the </w:t>
      </w:r>
      <w:proofErr w:type="spellStart"/>
      <w:r>
        <w:rPr>
          <w:color w:val="000000"/>
          <w:sz w:val="24"/>
          <w:szCs w:val="24"/>
        </w:rPr>
        <w:t>labor</w:t>
      </w:r>
      <w:proofErr w:type="spellEnd"/>
      <w:r>
        <w:rPr>
          <w:color w:val="000000"/>
          <w:sz w:val="24"/>
          <w:szCs w:val="24"/>
        </w:rPr>
        <w:t xml:space="preserve"> market. It lowers economic output by eliminating or undervaluing LGBTI talent from the </w:t>
      </w:r>
      <w:proofErr w:type="spellStart"/>
      <w:r>
        <w:rPr>
          <w:color w:val="000000"/>
          <w:sz w:val="24"/>
          <w:szCs w:val="24"/>
        </w:rPr>
        <w:t>labor</w:t>
      </w:r>
      <w:proofErr w:type="spellEnd"/>
      <w:r>
        <w:rPr>
          <w:color w:val="000000"/>
          <w:sz w:val="24"/>
          <w:szCs w:val="24"/>
        </w:rPr>
        <w:t xml:space="preserve"> market, so affecting their mental and physical health and thus their productivity. </w:t>
      </w:r>
    </w:p>
    <w:p w14:paraId="3C9757B3" w14:textId="77777777" w:rsidR="00DE64A6" w:rsidRDefault="00DE64A6">
      <w:pPr>
        <w:pBdr>
          <w:top w:val="nil"/>
          <w:left w:val="nil"/>
          <w:bottom w:val="nil"/>
          <w:right w:val="nil"/>
          <w:between w:val="nil"/>
        </w:pBdr>
        <w:spacing w:after="0" w:line="360" w:lineRule="auto"/>
        <w:jc w:val="both"/>
        <w:rPr>
          <w:color w:val="000000"/>
          <w:sz w:val="24"/>
          <w:szCs w:val="24"/>
        </w:rPr>
      </w:pPr>
    </w:p>
    <w:p w14:paraId="150C543C" w14:textId="77777777" w:rsidR="00DE64A6" w:rsidRDefault="00000000">
      <w:pPr>
        <w:pBdr>
          <w:top w:val="nil"/>
          <w:left w:val="nil"/>
          <w:bottom w:val="nil"/>
          <w:right w:val="nil"/>
          <w:between w:val="nil"/>
        </w:pBdr>
        <w:spacing w:after="0" w:line="360" w:lineRule="auto"/>
        <w:jc w:val="both"/>
        <w:rPr>
          <w:color w:val="000000"/>
          <w:sz w:val="24"/>
          <w:szCs w:val="24"/>
        </w:rPr>
      </w:pPr>
      <w:r>
        <w:rPr>
          <w:b/>
          <w:i/>
          <w:color w:val="000000"/>
          <w:sz w:val="24"/>
          <w:szCs w:val="24"/>
        </w:rPr>
        <w:t>“Over the Rainbow? The Road to LGBTI Inclusion”</w:t>
      </w:r>
      <w:r>
        <w:rPr>
          <w:color w:val="000000"/>
          <w:sz w:val="24"/>
          <w:szCs w:val="24"/>
        </w:rPr>
        <w:t xml:space="preserve"> presents a detailed review of the extent to which legislation in OECD nations assure equal treatment of LGBTI individuals, as well as supplementary measures that may aid LGBTI inclusion.</w:t>
      </w:r>
    </w:p>
    <w:p w14:paraId="15082BFC" w14:textId="77777777" w:rsidR="00DE64A6" w:rsidRDefault="00000000">
      <w:pPr>
        <w:pBdr>
          <w:top w:val="nil"/>
          <w:left w:val="nil"/>
          <w:bottom w:val="nil"/>
          <w:right w:val="nil"/>
          <w:between w:val="nil"/>
        </w:pBdr>
        <w:spacing w:after="0" w:line="360" w:lineRule="auto"/>
        <w:jc w:val="both"/>
        <w:rPr>
          <w:color w:val="000000"/>
          <w:sz w:val="24"/>
          <w:szCs w:val="24"/>
        </w:rPr>
      </w:pPr>
      <w:r>
        <w:rPr>
          <w:color w:val="000000"/>
          <w:sz w:val="24"/>
          <w:szCs w:val="24"/>
        </w:rPr>
        <w:t xml:space="preserve">Legal LGBTI inclusion is defined as the percentage of laws in effect that are necessary to ensure that LGBTI individuals are treated equally. Luxembourg is one of the 17 OECD countries with the highest legal safeguards for sexual and gender minorities. </w:t>
      </w:r>
    </w:p>
    <w:p w14:paraId="758C2023" w14:textId="77777777" w:rsidR="00DE64A6" w:rsidRDefault="00000000">
      <w:pPr>
        <w:pBdr>
          <w:top w:val="nil"/>
          <w:left w:val="nil"/>
          <w:bottom w:val="nil"/>
          <w:right w:val="nil"/>
          <w:between w:val="nil"/>
        </w:pBdr>
        <w:spacing w:after="0" w:line="360" w:lineRule="auto"/>
        <w:jc w:val="both"/>
        <w:rPr>
          <w:color w:val="000000"/>
          <w:sz w:val="24"/>
          <w:szCs w:val="24"/>
        </w:rPr>
      </w:pPr>
      <w:r>
        <w:rPr>
          <w:color w:val="000000"/>
          <w:sz w:val="24"/>
          <w:szCs w:val="24"/>
        </w:rPr>
        <w:t>LGBTI-inclusive legislation should be accompanied by considerable efforts to improve the representation and visibility of LGBTI people in national statistics. Policymakers working to increase LGBTI inclusion will continue to do so with little, if any, relevant evidence if proper data collecting is not done. In national representative surveys, Luxembourg does not ask about self-identification as heterosexual, homosexual, or bisexual as of 2018. It also doesn't collect data on the proportion of transgender and intersex people in the adult population.</w:t>
      </w:r>
    </w:p>
    <w:p w14:paraId="1BB9C465" w14:textId="77777777" w:rsidR="00DE64A6" w:rsidRDefault="00000000">
      <w:pPr>
        <w:pBdr>
          <w:top w:val="nil"/>
          <w:left w:val="nil"/>
          <w:bottom w:val="nil"/>
          <w:right w:val="nil"/>
          <w:between w:val="nil"/>
        </w:pBdr>
        <w:spacing w:after="0" w:line="360" w:lineRule="auto"/>
        <w:jc w:val="both"/>
        <w:rPr>
          <w:color w:val="000000"/>
          <w:sz w:val="24"/>
          <w:szCs w:val="24"/>
        </w:rPr>
      </w:pPr>
      <w:r>
        <w:rPr>
          <w:color w:val="000000"/>
          <w:sz w:val="24"/>
          <w:szCs w:val="24"/>
        </w:rPr>
        <w:t>Luxembourg should also be or remain engaged in the complementing policy areas listed below, which are seen as critical by current national action plans aimed at improving LGBTI inclusion:</w:t>
      </w:r>
    </w:p>
    <w:p w14:paraId="40B01CE6" w14:textId="77777777" w:rsidR="00DE64A6" w:rsidRDefault="00000000">
      <w:pPr>
        <w:numPr>
          <w:ilvl w:val="3"/>
          <w:numId w:val="3"/>
        </w:numPr>
        <w:pBdr>
          <w:top w:val="nil"/>
          <w:left w:val="nil"/>
          <w:bottom w:val="nil"/>
          <w:right w:val="nil"/>
          <w:between w:val="nil"/>
        </w:pBdr>
        <w:spacing w:after="0" w:line="360" w:lineRule="auto"/>
        <w:ind w:left="270"/>
        <w:jc w:val="both"/>
        <w:rPr>
          <w:color w:val="000000"/>
          <w:sz w:val="24"/>
          <w:szCs w:val="24"/>
        </w:rPr>
      </w:pPr>
      <w:r>
        <w:rPr>
          <w:color w:val="000000"/>
          <w:sz w:val="24"/>
          <w:szCs w:val="24"/>
        </w:rPr>
        <w:t>Enforcing antidiscrimination, hate crime/hate speech, and asylum legislation that are inclusive of LGBTI persons, for example, through training police officials on how to properly deal with hate crimes targeting LGBTI people.</w:t>
      </w:r>
    </w:p>
    <w:p w14:paraId="3F5184F6" w14:textId="77777777" w:rsidR="00DE64A6" w:rsidRDefault="00000000">
      <w:pPr>
        <w:numPr>
          <w:ilvl w:val="3"/>
          <w:numId w:val="3"/>
        </w:numPr>
        <w:pBdr>
          <w:top w:val="nil"/>
          <w:left w:val="nil"/>
          <w:bottom w:val="nil"/>
          <w:right w:val="nil"/>
          <w:between w:val="nil"/>
        </w:pBdr>
        <w:spacing w:after="0" w:line="360" w:lineRule="auto"/>
        <w:ind w:left="270"/>
        <w:jc w:val="both"/>
        <w:rPr>
          <w:color w:val="000000"/>
          <w:sz w:val="24"/>
          <w:szCs w:val="24"/>
        </w:rPr>
      </w:pPr>
      <w:r>
        <w:rPr>
          <w:color w:val="000000"/>
          <w:sz w:val="24"/>
          <w:szCs w:val="24"/>
        </w:rPr>
        <w:t xml:space="preserve">Beyond enforcing laws against discrimination in these professions, fostering a culture of equitable treatment in education, work, and healthcare, for example, through a whole-school approach to </w:t>
      </w:r>
      <w:proofErr w:type="spellStart"/>
      <w:r>
        <w:rPr>
          <w:color w:val="000000"/>
          <w:sz w:val="24"/>
          <w:szCs w:val="24"/>
        </w:rPr>
        <w:t>LGBTIphobic</w:t>
      </w:r>
      <w:proofErr w:type="spellEnd"/>
      <w:r>
        <w:rPr>
          <w:color w:val="000000"/>
          <w:sz w:val="24"/>
          <w:szCs w:val="24"/>
        </w:rPr>
        <w:t xml:space="preserve"> bullying.</w:t>
      </w:r>
    </w:p>
    <w:p w14:paraId="3566B04D" w14:textId="77777777" w:rsidR="00DE64A6" w:rsidRDefault="00000000">
      <w:pPr>
        <w:numPr>
          <w:ilvl w:val="3"/>
          <w:numId w:val="3"/>
        </w:numPr>
        <w:pBdr>
          <w:top w:val="nil"/>
          <w:left w:val="nil"/>
          <w:bottom w:val="nil"/>
          <w:right w:val="nil"/>
          <w:between w:val="nil"/>
        </w:pBdr>
        <w:spacing w:after="0" w:line="360" w:lineRule="auto"/>
        <w:ind w:left="270"/>
        <w:jc w:val="both"/>
        <w:rPr>
          <w:color w:val="000000"/>
          <w:sz w:val="24"/>
          <w:szCs w:val="24"/>
        </w:rPr>
      </w:pPr>
      <w:r>
        <w:rPr>
          <w:color w:val="000000"/>
          <w:sz w:val="24"/>
          <w:szCs w:val="24"/>
        </w:rPr>
        <w:t>Creating and maintaining public support for LGBTI inclusion, for example through well-designed public awareness-raising events. ("Over the rainbow", 2021)</w:t>
      </w:r>
    </w:p>
    <w:p w14:paraId="3F865922" w14:textId="77777777" w:rsidR="00DE64A6" w:rsidRDefault="00DE64A6">
      <w:pPr>
        <w:pBdr>
          <w:top w:val="nil"/>
          <w:left w:val="nil"/>
          <w:bottom w:val="nil"/>
          <w:right w:val="nil"/>
          <w:between w:val="nil"/>
        </w:pBdr>
        <w:spacing w:after="0" w:line="360" w:lineRule="auto"/>
        <w:jc w:val="both"/>
        <w:rPr>
          <w:color w:val="000000"/>
          <w:sz w:val="24"/>
          <w:szCs w:val="24"/>
        </w:rPr>
      </w:pPr>
    </w:p>
    <w:p w14:paraId="20163B0E" w14:textId="77777777" w:rsidR="00DE64A6" w:rsidRDefault="00000000">
      <w:pPr>
        <w:pBdr>
          <w:top w:val="nil"/>
          <w:left w:val="nil"/>
          <w:bottom w:val="nil"/>
          <w:right w:val="nil"/>
          <w:between w:val="nil"/>
        </w:pBdr>
        <w:spacing w:after="0" w:line="360" w:lineRule="auto"/>
        <w:jc w:val="both"/>
        <w:rPr>
          <w:color w:val="000000"/>
          <w:sz w:val="24"/>
          <w:szCs w:val="24"/>
        </w:rPr>
      </w:pPr>
      <w:r>
        <w:rPr>
          <w:color w:val="000000"/>
          <w:sz w:val="24"/>
          <w:szCs w:val="24"/>
        </w:rPr>
        <w:t xml:space="preserve">In 2020, </w:t>
      </w:r>
      <w:r>
        <w:rPr>
          <w:b/>
          <w:i/>
          <w:color w:val="000000"/>
          <w:sz w:val="24"/>
          <w:szCs w:val="24"/>
        </w:rPr>
        <w:t>Pride Week</w:t>
      </w:r>
      <w:r>
        <w:rPr>
          <w:color w:val="000000"/>
          <w:sz w:val="24"/>
          <w:szCs w:val="24"/>
        </w:rPr>
        <w:t xml:space="preserve"> went digital to meet with pandemic restrictions. ("Luxembourg Pride Week 2021 and LGBTIQ life", 2021) IMS Luxembourg has prepared a guide of best practices and testimonials for </w:t>
      </w:r>
      <w:r>
        <w:rPr>
          <w:color w:val="000000"/>
          <w:sz w:val="24"/>
          <w:szCs w:val="24"/>
        </w:rPr>
        <w:lastRenderedPageBreak/>
        <w:t>businesses to encourage the inclusion of lesbian, gay, bisexual, transgender, and intersex (LGBTI) persons in the workplace.</w:t>
      </w:r>
    </w:p>
    <w:p w14:paraId="0FE4496D" w14:textId="77777777" w:rsidR="00DE64A6" w:rsidRDefault="00000000">
      <w:pPr>
        <w:pBdr>
          <w:top w:val="nil"/>
          <w:left w:val="nil"/>
          <w:bottom w:val="nil"/>
          <w:right w:val="nil"/>
          <w:between w:val="nil"/>
        </w:pBdr>
        <w:spacing w:after="0" w:line="360" w:lineRule="auto"/>
        <w:jc w:val="both"/>
        <w:rPr>
          <w:color w:val="000000"/>
          <w:sz w:val="24"/>
          <w:szCs w:val="24"/>
        </w:rPr>
      </w:pPr>
      <w:r>
        <w:rPr>
          <w:color w:val="000000"/>
          <w:sz w:val="24"/>
          <w:szCs w:val="24"/>
        </w:rPr>
        <w:t xml:space="preserve">"The more we can celebrate our differences while recognising how much we are alike, the better we will be as individuals and contribute to society," said Marcello Montenero, Client Manager Global Banking at HSBC Luxembourg. </w:t>
      </w:r>
    </w:p>
    <w:p w14:paraId="43E19D0F" w14:textId="77777777" w:rsidR="00DE64A6" w:rsidRDefault="00DE64A6">
      <w:pPr>
        <w:pBdr>
          <w:top w:val="nil"/>
          <w:left w:val="nil"/>
          <w:bottom w:val="nil"/>
          <w:right w:val="nil"/>
          <w:between w:val="nil"/>
        </w:pBdr>
        <w:spacing w:after="0" w:line="360" w:lineRule="auto"/>
        <w:jc w:val="both"/>
        <w:rPr>
          <w:color w:val="000000"/>
          <w:sz w:val="24"/>
          <w:szCs w:val="24"/>
        </w:rPr>
      </w:pPr>
    </w:p>
    <w:p w14:paraId="415326B6" w14:textId="77777777" w:rsidR="00DE64A6" w:rsidRDefault="00000000">
      <w:pPr>
        <w:pBdr>
          <w:top w:val="nil"/>
          <w:left w:val="nil"/>
          <w:bottom w:val="nil"/>
          <w:right w:val="nil"/>
          <w:between w:val="nil"/>
        </w:pBdr>
        <w:spacing w:after="0" w:line="360" w:lineRule="auto"/>
        <w:jc w:val="both"/>
        <w:rPr>
          <w:color w:val="000000"/>
          <w:sz w:val="24"/>
          <w:szCs w:val="24"/>
        </w:rPr>
      </w:pPr>
      <w:r>
        <w:rPr>
          <w:color w:val="000000"/>
          <w:sz w:val="24"/>
          <w:szCs w:val="24"/>
        </w:rPr>
        <w:t>Among the most important best practices are the following:</w:t>
      </w:r>
    </w:p>
    <w:p w14:paraId="2E00DAED" w14:textId="77777777" w:rsidR="00DE64A6" w:rsidRDefault="00000000">
      <w:pPr>
        <w:pBdr>
          <w:top w:val="nil"/>
          <w:left w:val="nil"/>
          <w:bottom w:val="nil"/>
          <w:right w:val="nil"/>
          <w:between w:val="nil"/>
        </w:pBdr>
        <w:spacing w:after="0" w:line="360" w:lineRule="auto"/>
        <w:jc w:val="both"/>
        <w:rPr>
          <w:b/>
          <w:color w:val="000000"/>
          <w:sz w:val="24"/>
          <w:szCs w:val="24"/>
        </w:rPr>
      </w:pPr>
      <w:r>
        <w:rPr>
          <w:b/>
          <w:color w:val="000000"/>
          <w:sz w:val="24"/>
          <w:szCs w:val="24"/>
        </w:rPr>
        <w:t>Partnership with an association to hire transgender people</w:t>
      </w:r>
    </w:p>
    <w:p w14:paraId="71DB8286" w14:textId="77777777" w:rsidR="00DE64A6" w:rsidRDefault="00000000">
      <w:pPr>
        <w:pBdr>
          <w:top w:val="nil"/>
          <w:left w:val="nil"/>
          <w:bottom w:val="nil"/>
          <w:right w:val="nil"/>
          <w:between w:val="nil"/>
        </w:pBdr>
        <w:spacing w:after="0" w:line="360" w:lineRule="auto"/>
        <w:jc w:val="both"/>
        <w:rPr>
          <w:color w:val="000000"/>
          <w:sz w:val="24"/>
          <w:szCs w:val="24"/>
        </w:rPr>
      </w:pPr>
      <w:r>
        <w:rPr>
          <w:color w:val="000000"/>
          <w:sz w:val="24"/>
          <w:szCs w:val="24"/>
        </w:rPr>
        <w:t xml:space="preserve">Last November, El Corte </w:t>
      </w:r>
      <w:proofErr w:type="spellStart"/>
      <w:r>
        <w:rPr>
          <w:color w:val="000000"/>
          <w:sz w:val="24"/>
          <w:szCs w:val="24"/>
        </w:rPr>
        <w:t>Inglés</w:t>
      </w:r>
      <w:proofErr w:type="spellEnd"/>
      <w:r>
        <w:rPr>
          <w:color w:val="000000"/>
          <w:sz w:val="24"/>
          <w:szCs w:val="24"/>
        </w:rPr>
        <w:t xml:space="preserve"> wanted to make its hiring policy more inclusive. Through the </w:t>
      </w:r>
      <w:proofErr w:type="spellStart"/>
      <w:r>
        <w:rPr>
          <w:color w:val="000000"/>
          <w:sz w:val="24"/>
          <w:szCs w:val="24"/>
        </w:rPr>
        <w:t>CasaQui</w:t>
      </w:r>
      <w:proofErr w:type="spellEnd"/>
      <w:r>
        <w:rPr>
          <w:color w:val="000000"/>
          <w:sz w:val="24"/>
          <w:szCs w:val="24"/>
        </w:rPr>
        <w:t xml:space="preserve"> association (an association fighting for the inclusion of transgender people in Portugal), the company met several transgender people seeking employment. The recruitment process was led by talent acquisition professionals, diversity-oriented and experienced in its assessment.</w:t>
      </w:r>
    </w:p>
    <w:p w14:paraId="0D2B3303" w14:textId="77777777" w:rsidR="00DE64A6" w:rsidRDefault="00000000">
      <w:pPr>
        <w:pBdr>
          <w:top w:val="nil"/>
          <w:left w:val="nil"/>
          <w:bottom w:val="nil"/>
          <w:right w:val="nil"/>
          <w:between w:val="nil"/>
        </w:pBdr>
        <w:spacing w:after="0" w:line="360" w:lineRule="auto"/>
        <w:jc w:val="both"/>
        <w:rPr>
          <w:color w:val="000000"/>
          <w:sz w:val="24"/>
          <w:szCs w:val="24"/>
        </w:rPr>
      </w:pPr>
      <w:r>
        <w:rPr>
          <w:color w:val="000000"/>
          <w:sz w:val="24"/>
          <w:szCs w:val="24"/>
        </w:rPr>
        <w:t>In order for the recruited person to feel at ease in their integration, the company has taken care to promote awareness-raising actions among managers and other employees of the department.</w:t>
      </w:r>
    </w:p>
    <w:p w14:paraId="4D50B5F5" w14:textId="77777777" w:rsidR="00DE64A6" w:rsidRDefault="00000000">
      <w:pPr>
        <w:pBdr>
          <w:top w:val="nil"/>
          <w:left w:val="nil"/>
          <w:bottom w:val="nil"/>
          <w:right w:val="nil"/>
          <w:between w:val="nil"/>
        </w:pBdr>
        <w:spacing w:after="0" w:line="360" w:lineRule="auto"/>
        <w:jc w:val="both"/>
        <w:rPr>
          <w:color w:val="000000"/>
          <w:sz w:val="24"/>
          <w:szCs w:val="24"/>
        </w:rPr>
      </w:pPr>
      <w:r>
        <w:rPr>
          <w:color w:val="000000"/>
          <w:sz w:val="24"/>
          <w:szCs w:val="24"/>
        </w:rPr>
        <w:t xml:space="preserve">The expansion of recruitment channels coincides with an offer inclusive employment. </w:t>
      </w:r>
    </w:p>
    <w:p w14:paraId="2C6156DD" w14:textId="77777777" w:rsidR="00DE64A6" w:rsidRDefault="00000000">
      <w:pPr>
        <w:pBdr>
          <w:top w:val="nil"/>
          <w:left w:val="nil"/>
          <w:bottom w:val="nil"/>
          <w:right w:val="nil"/>
          <w:between w:val="nil"/>
        </w:pBdr>
        <w:spacing w:after="0" w:line="360" w:lineRule="auto"/>
        <w:jc w:val="both"/>
        <w:rPr>
          <w:color w:val="000000"/>
          <w:sz w:val="24"/>
          <w:szCs w:val="24"/>
        </w:rPr>
      </w:pPr>
      <w:r>
        <w:rPr>
          <w:color w:val="000000"/>
          <w:sz w:val="24"/>
          <w:szCs w:val="24"/>
        </w:rPr>
        <w:t xml:space="preserve">• </w:t>
      </w:r>
      <w:proofErr w:type="spellStart"/>
      <w:r>
        <w:rPr>
          <w:color w:val="000000"/>
          <w:sz w:val="24"/>
          <w:szCs w:val="24"/>
        </w:rPr>
        <w:t>Favor</w:t>
      </w:r>
      <w:proofErr w:type="spellEnd"/>
      <w:r>
        <w:rPr>
          <w:color w:val="000000"/>
          <w:sz w:val="24"/>
          <w:szCs w:val="24"/>
        </w:rPr>
        <w:t xml:space="preserve"> inclusive communication: inclusive language, use of neutral terms and images showing diversity. For example, systematically prefer the term "person" and avoid the use of genders in the job description;</w:t>
      </w:r>
    </w:p>
    <w:p w14:paraId="2D4E347A" w14:textId="77777777" w:rsidR="00DE64A6" w:rsidRDefault="00000000">
      <w:pPr>
        <w:pBdr>
          <w:top w:val="nil"/>
          <w:left w:val="nil"/>
          <w:bottom w:val="nil"/>
          <w:right w:val="nil"/>
          <w:between w:val="nil"/>
        </w:pBdr>
        <w:spacing w:after="0" w:line="360" w:lineRule="auto"/>
        <w:jc w:val="both"/>
        <w:rPr>
          <w:color w:val="000000"/>
          <w:sz w:val="24"/>
          <w:szCs w:val="24"/>
        </w:rPr>
      </w:pPr>
      <w:r>
        <w:rPr>
          <w:color w:val="000000"/>
          <w:sz w:val="24"/>
          <w:szCs w:val="24"/>
        </w:rPr>
        <w:t>• Presentation of the company: recall the values ​​of diversity, mention its openness to all forms of diversity, or mention a "zero tolerance in terms of discrimination" or an "equal opportunities employer" policy</w:t>
      </w:r>
    </w:p>
    <w:p w14:paraId="2C3FFE25" w14:textId="77777777" w:rsidR="00DE64A6" w:rsidRDefault="00DE64A6">
      <w:pPr>
        <w:pBdr>
          <w:top w:val="nil"/>
          <w:left w:val="nil"/>
          <w:bottom w:val="nil"/>
          <w:right w:val="nil"/>
          <w:between w:val="nil"/>
        </w:pBdr>
        <w:spacing w:after="0" w:line="360" w:lineRule="auto"/>
        <w:jc w:val="both"/>
        <w:rPr>
          <w:color w:val="000000"/>
          <w:sz w:val="24"/>
          <w:szCs w:val="24"/>
        </w:rPr>
      </w:pPr>
    </w:p>
    <w:p w14:paraId="2E059268" w14:textId="77777777" w:rsidR="00DE64A6" w:rsidRDefault="00000000">
      <w:pPr>
        <w:pBdr>
          <w:top w:val="nil"/>
          <w:left w:val="nil"/>
          <w:bottom w:val="nil"/>
          <w:right w:val="nil"/>
          <w:between w:val="nil"/>
        </w:pBdr>
        <w:spacing w:after="0" w:line="360" w:lineRule="auto"/>
        <w:jc w:val="both"/>
        <w:rPr>
          <w:b/>
          <w:color w:val="000000"/>
          <w:sz w:val="24"/>
          <w:szCs w:val="24"/>
        </w:rPr>
      </w:pPr>
      <w:r>
        <w:rPr>
          <w:b/>
          <w:color w:val="000000"/>
          <w:sz w:val="24"/>
          <w:szCs w:val="24"/>
        </w:rPr>
        <w:t>Opening to diversity during recruitment and career management</w:t>
      </w:r>
    </w:p>
    <w:p w14:paraId="26CE65C4" w14:textId="77777777" w:rsidR="00DE64A6" w:rsidRDefault="00000000">
      <w:pPr>
        <w:pBdr>
          <w:top w:val="nil"/>
          <w:left w:val="nil"/>
          <w:bottom w:val="nil"/>
          <w:right w:val="nil"/>
          <w:between w:val="nil"/>
        </w:pBdr>
        <w:spacing w:after="0" w:line="360" w:lineRule="auto"/>
        <w:jc w:val="both"/>
        <w:rPr>
          <w:color w:val="000000"/>
          <w:sz w:val="24"/>
          <w:szCs w:val="24"/>
        </w:rPr>
      </w:pPr>
      <w:proofErr w:type="spellStart"/>
      <w:r>
        <w:rPr>
          <w:color w:val="000000"/>
          <w:sz w:val="24"/>
          <w:szCs w:val="24"/>
        </w:rPr>
        <w:t>Vigeo</w:t>
      </w:r>
      <w:proofErr w:type="spellEnd"/>
      <w:r>
        <w:rPr>
          <w:color w:val="000000"/>
          <w:sz w:val="24"/>
          <w:szCs w:val="24"/>
        </w:rPr>
        <w:t xml:space="preserve"> Eiris Belgium is committed to Diversity and Inclusion, going beyond the legal obligation of non-discrimination and equal treatment, of the recognition and respect of differences and promoting inclusion. The good practice to be mentioned is found in maintaining a working environment open to everyone, regardless of their sex, nationality, ethnicity, skin </w:t>
      </w:r>
      <w:proofErr w:type="spellStart"/>
      <w:r>
        <w:rPr>
          <w:color w:val="000000"/>
          <w:sz w:val="24"/>
          <w:szCs w:val="24"/>
        </w:rPr>
        <w:t>color</w:t>
      </w:r>
      <w:proofErr w:type="spellEnd"/>
      <w:r>
        <w:rPr>
          <w:color w:val="000000"/>
          <w:sz w:val="24"/>
          <w:szCs w:val="24"/>
        </w:rPr>
        <w:t xml:space="preserve">, social origin, socio-economic status, age, sexual orientation, expression of physical or sexual identity, religious or philosophical beliefs, political beliefs, union membership, marital or family status (including pregnancy), </w:t>
      </w:r>
      <w:r>
        <w:rPr>
          <w:color w:val="000000"/>
          <w:sz w:val="24"/>
          <w:szCs w:val="24"/>
        </w:rPr>
        <w:lastRenderedPageBreak/>
        <w:t>disabilities, current and future sensitive medical conditions or any other characteristic that could be the subject of discrimination. Thus, support a proactive policy of diversity and non-discrimination with the aim to reflect the diversity of the populations in the workforce, while respecting the principles of diversity and inclusion.</w:t>
      </w:r>
    </w:p>
    <w:p w14:paraId="5722DCB4" w14:textId="77777777" w:rsidR="00DE64A6" w:rsidRDefault="00000000">
      <w:pPr>
        <w:pBdr>
          <w:top w:val="nil"/>
          <w:left w:val="nil"/>
          <w:bottom w:val="nil"/>
          <w:right w:val="nil"/>
          <w:between w:val="nil"/>
        </w:pBdr>
        <w:spacing w:after="0" w:line="360" w:lineRule="auto"/>
        <w:jc w:val="both"/>
        <w:rPr>
          <w:color w:val="000000"/>
          <w:sz w:val="24"/>
          <w:szCs w:val="24"/>
        </w:rPr>
      </w:pPr>
      <w:r>
        <w:rPr>
          <w:color w:val="000000"/>
          <w:sz w:val="24"/>
          <w:szCs w:val="24"/>
        </w:rPr>
        <w:t>Here it is important to remember that diversity is seen as a principle that allows people to thrive regardless of their individual differences. Conscious application of the principles of diversity promotes acceptance, support and development of the talents of individuals. This approach offers opportunities for innovation and improves the performance and competitiveness of the organization.</w:t>
      </w:r>
    </w:p>
    <w:p w14:paraId="6F79D0AF" w14:textId="77777777" w:rsidR="00DE64A6" w:rsidRDefault="00DE64A6">
      <w:pPr>
        <w:pBdr>
          <w:top w:val="nil"/>
          <w:left w:val="nil"/>
          <w:bottom w:val="nil"/>
          <w:right w:val="nil"/>
          <w:between w:val="nil"/>
        </w:pBdr>
        <w:spacing w:after="0" w:line="360" w:lineRule="auto"/>
        <w:jc w:val="both"/>
        <w:rPr>
          <w:color w:val="000000"/>
          <w:sz w:val="24"/>
          <w:szCs w:val="24"/>
        </w:rPr>
      </w:pPr>
    </w:p>
    <w:p w14:paraId="2F47CDF9" w14:textId="77777777" w:rsidR="00DE64A6" w:rsidRDefault="00000000">
      <w:pPr>
        <w:pBdr>
          <w:top w:val="nil"/>
          <w:left w:val="nil"/>
          <w:bottom w:val="nil"/>
          <w:right w:val="nil"/>
          <w:between w:val="nil"/>
        </w:pBdr>
        <w:spacing w:after="0" w:line="360" w:lineRule="auto"/>
        <w:jc w:val="both"/>
        <w:rPr>
          <w:b/>
          <w:color w:val="000000"/>
          <w:sz w:val="24"/>
          <w:szCs w:val="24"/>
        </w:rPr>
      </w:pPr>
      <w:r>
        <w:rPr>
          <w:b/>
          <w:color w:val="000000"/>
          <w:sz w:val="24"/>
          <w:szCs w:val="24"/>
        </w:rPr>
        <w:t>Guide on gender transition in the workplace</w:t>
      </w:r>
    </w:p>
    <w:p w14:paraId="70B5A1CB" w14:textId="77777777" w:rsidR="00DE64A6" w:rsidRDefault="00000000">
      <w:pPr>
        <w:pBdr>
          <w:top w:val="nil"/>
          <w:left w:val="nil"/>
          <w:bottom w:val="nil"/>
          <w:right w:val="nil"/>
          <w:between w:val="nil"/>
        </w:pBdr>
        <w:spacing w:after="0" w:line="360" w:lineRule="auto"/>
        <w:jc w:val="both"/>
        <w:rPr>
          <w:color w:val="000000"/>
          <w:sz w:val="24"/>
          <w:szCs w:val="24"/>
        </w:rPr>
      </w:pPr>
      <w:r>
        <w:rPr>
          <w:color w:val="000000"/>
          <w:sz w:val="24"/>
          <w:szCs w:val="24"/>
        </w:rPr>
        <w:t>Dow has a comprehensive guide to gender transition called “An Uneventful Gender Transition”.</w:t>
      </w:r>
    </w:p>
    <w:p w14:paraId="030CEEDF" w14:textId="77777777" w:rsidR="00DE64A6" w:rsidRDefault="00000000">
      <w:pPr>
        <w:pBdr>
          <w:top w:val="nil"/>
          <w:left w:val="nil"/>
          <w:bottom w:val="nil"/>
          <w:right w:val="nil"/>
          <w:between w:val="nil"/>
        </w:pBdr>
        <w:spacing w:after="0" w:line="360" w:lineRule="auto"/>
        <w:jc w:val="both"/>
        <w:rPr>
          <w:color w:val="000000"/>
          <w:sz w:val="24"/>
          <w:szCs w:val="24"/>
        </w:rPr>
      </w:pPr>
      <w:r>
        <w:rPr>
          <w:color w:val="000000"/>
          <w:sz w:val="24"/>
          <w:szCs w:val="24"/>
        </w:rPr>
        <w:t>The guidelines in this guide help to make this a "trouble-free" process by adding definitions of gender, gender identity, gender expression, gender nonconforming, gender transition and finally sexual orientation, to explain clearly the terms that appear when discussing transition in the workplace. It also contains important points on privacy, such as the proper use of names and pronouns during and after the transition, how to deal with employee files, or how to allow accessibility to sanitation for all and adaptation. dress codes. The plan also includes the support process on the first day of an employee's formal transition in the workplace and post-transition follow-up.</w:t>
      </w:r>
    </w:p>
    <w:p w14:paraId="223499E2" w14:textId="77777777" w:rsidR="00DE64A6" w:rsidRDefault="00DE64A6">
      <w:pPr>
        <w:pBdr>
          <w:top w:val="nil"/>
          <w:left w:val="nil"/>
          <w:bottom w:val="nil"/>
          <w:right w:val="nil"/>
          <w:between w:val="nil"/>
        </w:pBdr>
        <w:spacing w:after="0" w:line="360" w:lineRule="auto"/>
        <w:jc w:val="both"/>
        <w:rPr>
          <w:color w:val="000000"/>
          <w:sz w:val="24"/>
          <w:szCs w:val="24"/>
        </w:rPr>
      </w:pPr>
    </w:p>
    <w:p w14:paraId="570047C6" w14:textId="77777777" w:rsidR="00DE64A6" w:rsidRDefault="00000000">
      <w:pPr>
        <w:pBdr>
          <w:top w:val="nil"/>
          <w:left w:val="nil"/>
          <w:bottom w:val="nil"/>
          <w:right w:val="nil"/>
          <w:between w:val="nil"/>
        </w:pBdr>
        <w:spacing w:after="0" w:line="360" w:lineRule="auto"/>
        <w:jc w:val="both"/>
        <w:rPr>
          <w:color w:val="000000"/>
          <w:sz w:val="24"/>
          <w:szCs w:val="24"/>
        </w:rPr>
      </w:pPr>
      <w:r>
        <w:rPr>
          <w:color w:val="000000"/>
          <w:sz w:val="24"/>
          <w:szCs w:val="24"/>
        </w:rPr>
        <w:t>The focus is on strengthening and equipping managers in diversity management to ensure that the transition process is as gentle for the person as it is for colleagues, consider raising awareness and training employees in LGBTI diversity. Among the themes and subjects discussed during the training, we can find for example:</w:t>
      </w:r>
    </w:p>
    <w:p w14:paraId="40CE4B26" w14:textId="77777777" w:rsidR="00DE64A6" w:rsidRDefault="00000000">
      <w:pPr>
        <w:pBdr>
          <w:top w:val="nil"/>
          <w:left w:val="nil"/>
          <w:bottom w:val="nil"/>
          <w:right w:val="nil"/>
          <w:between w:val="nil"/>
        </w:pBdr>
        <w:spacing w:after="0" w:line="360" w:lineRule="auto"/>
        <w:jc w:val="both"/>
        <w:rPr>
          <w:color w:val="000000"/>
          <w:sz w:val="24"/>
          <w:szCs w:val="24"/>
        </w:rPr>
      </w:pPr>
      <w:r>
        <w:rPr>
          <w:color w:val="000000"/>
          <w:sz w:val="24"/>
          <w:szCs w:val="24"/>
        </w:rPr>
        <w:t>• Unconscious stereotypes and biases around sexual orientation or gender identity;</w:t>
      </w:r>
    </w:p>
    <w:p w14:paraId="4525D0F0" w14:textId="77777777" w:rsidR="00DE64A6" w:rsidRDefault="00000000">
      <w:pPr>
        <w:pBdr>
          <w:top w:val="nil"/>
          <w:left w:val="nil"/>
          <w:bottom w:val="nil"/>
          <w:right w:val="nil"/>
          <w:between w:val="nil"/>
        </w:pBdr>
        <w:spacing w:after="0" w:line="360" w:lineRule="auto"/>
        <w:jc w:val="both"/>
        <w:rPr>
          <w:color w:val="000000"/>
          <w:sz w:val="24"/>
          <w:szCs w:val="24"/>
        </w:rPr>
      </w:pPr>
      <w:r>
        <w:rPr>
          <w:color w:val="000000"/>
          <w:sz w:val="24"/>
          <w:szCs w:val="24"/>
        </w:rPr>
        <w:t>• Respond to discrimination, issues related to sexual orientation and gender change;</w:t>
      </w:r>
    </w:p>
    <w:p w14:paraId="56CD62C0" w14:textId="77777777" w:rsidR="00DE64A6" w:rsidRDefault="00000000">
      <w:pPr>
        <w:pBdr>
          <w:top w:val="nil"/>
          <w:left w:val="nil"/>
          <w:bottom w:val="nil"/>
          <w:right w:val="nil"/>
          <w:between w:val="nil"/>
        </w:pBdr>
        <w:spacing w:after="0" w:line="360" w:lineRule="auto"/>
        <w:jc w:val="both"/>
        <w:rPr>
          <w:color w:val="000000"/>
          <w:sz w:val="24"/>
          <w:szCs w:val="24"/>
        </w:rPr>
      </w:pPr>
      <w:r>
        <w:rPr>
          <w:color w:val="000000"/>
          <w:sz w:val="24"/>
          <w:szCs w:val="24"/>
        </w:rPr>
        <w:t>• Detect people in a situation of discomfort and / or poorly integrated into their teams because of their sexual orientation or gender identity;</w:t>
      </w:r>
    </w:p>
    <w:p w14:paraId="2052383E" w14:textId="77777777" w:rsidR="00DE64A6" w:rsidRDefault="00000000">
      <w:pPr>
        <w:pBdr>
          <w:top w:val="nil"/>
          <w:left w:val="nil"/>
          <w:bottom w:val="nil"/>
          <w:right w:val="nil"/>
          <w:between w:val="nil"/>
        </w:pBdr>
        <w:spacing w:after="0" w:line="360" w:lineRule="auto"/>
        <w:jc w:val="both"/>
        <w:rPr>
          <w:color w:val="000000"/>
          <w:sz w:val="24"/>
          <w:szCs w:val="24"/>
        </w:rPr>
      </w:pPr>
      <w:r>
        <w:rPr>
          <w:color w:val="000000"/>
          <w:sz w:val="24"/>
          <w:szCs w:val="24"/>
        </w:rPr>
        <w:lastRenderedPageBreak/>
        <w:t>• Avoid discrimination in recruitment or in career development, etc. The training could be available in different formats, depending on the needs, expectations and target audiences of each organization (e-learning, workshop, role-playing, simulation, unconscious bias testing, etc.)</w:t>
      </w:r>
    </w:p>
    <w:p w14:paraId="0D4469DC" w14:textId="77777777" w:rsidR="00DE64A6" w:rsidRDefault="00DE64A6">
      <w:pPr>
        <w:pBdr>
          <w:top w:val="nil"/>
          <w:left w:val="nil"/>
          <w:bottom w:val="nil"/>
          <w:right w:val="nil"/>
          <w:between w:val="nil"/>
        </w:pBdr>
        <w:spacing w:after="0" w:line="360" w:lineRule="auto"/>
        <w:jc w:val="both"/>
        <w:rPr>
          <w:color w:val="000000"/>
          <w:sz w:val="24"/>
          <w:szCs w:val="24"/>
        </w:rPr>
      </w:pPr>
    </w:p>
    <w:p w14:paraId="149DCD67" w14:textId="77777777" w:rsidR="00DE64A6" w:rsidRDefault="00000000">
      <w:pPr>
        <w:pBdr>
          <w:top w:val="nil"/>
          <w:left w:val="nil"/>
          <w:bottom w:val="nil"/>
          <w:right w:val="nil"/>
          <w:between w:val="nil"/>
        </w:pBdr>
        <w:spacing w:after="0" w:line="360" w:lineRule="auto"/>
        <w:jc w:val="both"/>
        <w:rPr>
          <w:b/>
          <w:color w:val="000000"/>
          <w:sz w:val="24"/>
          <w:szCs w:val="24"/>
        </w:rPr>
      </w:pPr>
      <w:r>
        <w:rPr>
          <w:b/>
          <w:color w:val="000000"/>
          <w:sz w:val="24"/>
          <w:szCs w:val="24"/>
        </w:rPr>
        <w:t>Anonymous listening line</w:t>
      </w:r>
    </w:p>
    <w:p w14:paraId="04DDAFE7" w14:textId="77777777" w:rsidR="00DE64A6" w:rsidRDefault="00000000">
      <w:pPr>
        <w:pBdr>
          <w:top w:val="nil"/>
          <w:left w:val="nil"/>
          <w:bottom w:val="nil"/>
          <w:right w:val="nil"/>
          <w:between w:val="nil"/>
        </w:pBdr>
        <w:spacing w:after="0" w:line="360" w:lineRule="auto"/>
        <w:jc w:val="both"/>
        <w:rPr>
          <w:color w:val="000000"/>
          <w:sz w:val="24"/>
          <w:szCs w:val="24"/>
        </w:rPr>
      </w:pPr>
      <w:r>
        <w:rPr>
          <w:color w:val="000000"/>
          <w:sz w:val="24"/>
          <w:szCs w:val="24"/>
        </w:rPr>
        <w:t xml:space="preserve">"Speak Up" was created by Deloitte to provide a platform for ethical issues that may arise within the company. </w:t>
      </w:r>
    </w:p>
    <w:p w14:paraId="47B1EF55" w14:textId="77777777" w:rsidR="00DE64A6" w:rsidRDefault="00000000">
      <w:pPr>
        <w:pBdr>
          <w:top w:val="nil"/>
          <w:left w:val="nil"/>
          <w:bottom w:val="nil"/>
          <w:right w:val="nil"/>
          <w:between w:val="nil"/>
        </w:pBdr>
        <w:spacing w:after="0" w:line="360" w:lineRule="auto"/>
        <w:jc w:val="both"/>
        <w:rPr>
          <w:color w:val="000000"/>
          <w:sz w:val="24"/>
          <w:szCs w:val="24"/>
        </w:rPr>
      </w:pPr>
      <w:r>
        <w:rPr>
          <w:color w:val="000000"/>
          <w:sz w:val="24"/>
          <w:szCs w:val="24"/>
        </w:rPr>
        <w:t>This platform, accessible by telephone or via the internet, is one of the communication channels for reporting critical situations with regard to Deloitte's values ​​(Deloitte shared values), and possible ethical dilemmas while emphasizing confidentiality, and the protection of employees against possible reprisals.</w:t>
      </w:r>
    </w:p>
    <w:p w14:paraId="1037757C" w14:textId="77777777" w:rsidR="00DE64A6" w:rsidRDefault="00000000">
      <w:pPr>
        <w:pBdr>
          <w:top w:val="nil"/>
          <w:left w:val="nil"/>
          <w:bottom w:val="nil"/>
          <w:right w:val="nil"/>
          <w:between w:val="nil"/>
        </w:pBdr>
        <w:spacing w:after="0" w:line="360" w:lineRule="auto"/>
        <w:jc w:val="both"/>
        <w:rPr>
          <w:color w:val="000000"/>
          <w:sz w:val="24"/>
          <w:szCs w:val="24"/>
        </w:rPr>
      </w:pPr>
      <w:r>
        <w:rPr>
          <w:color w:val="000000"/>
          <w:sz w:val="24"/>
          <w:szCs w:val="24"/>
        </w:rPr>
        <w:t>This channel is also open to any counterparty with which Deloitte maintains or has maintained any type of commercial relationship. Any employee or supplier can contact, via intranet or by phone, a qualified third party who will listen to them and will take the details of the situation completely anonymously, anonymously for Deloitte only or completely transparent at the choice of the employee. Subsequently, the subjects or complaints reported via Speak Up, but also by any other channel (teams, human resources, coaches, etc.) are examined by the Deloitte Ethics Committee for investigations and, where applicable, sanctions for behavior deemed contrary to ethics and Deloitte shared values.</w:t>
      </w:r>
    </w:p>
    <w:p w14:paraId="3AA2D536" w14:textId="77777777" w:rsidR="00DE64A6" w:rsidRDefault="00DE64A6">
      <w:pPr>
        <w:pBdr>
          <w:top w:val="nil"/>
          <w:left w:val="nil"/>
          <w:bottom w:val="nil"/>
          <w:right w:val="nil"/>
          <w:between w:val="nil"/>
        </w:pBdr>
        <w:spacing w:after="0" w:line="360" w:lineRule="auto"/>
        <w:jc w:val="both"/>
        <w:rPr>
          <w:color w:val="000000"/>
          <w:sz w:val="24"/>
          <w:szCs w:val="24"/>
        </w:rPr>
      </w:pPr>
    </w:p>
    <w:p w14:paraId="13DA572E" w14:textId="77777777" w:rsidR="00DE64A6" w:rsidRDefault="00000000">
      <w:pPr>
        <w:pBdr>
          <w:top w:val="nil"/>
          <w:left w:val="nil"/>
          <w:bottom w:val="nil"/>
          <w:right w:val="nil"/>
          <w:between w:val="nil"/>
        </w:pBdr>
        <w:spacing w:after="0" w:line="360" w:lineRule="auto"/>
        <w:jc w:val="both"/>
        <w:rPr>
          <w:b/>
          <w:color w:val="000000"/>
          <w:sz w:val="24"/>
          <w:szCs w:val="24"/>
        </w:rPr>
      </w:pPr>
      <w:r>
        <w:rPr>
          <w:b/>
          <w:color w:val="000000"/>
          <w:sz w:val="24"/>
          <w:szCs w:val="24"/>
        </w:rPr>
        <w:t xml:space="preserve">Creation of an </w:t>
      </w:r>
      <w:proofErr w:type="spellStart"/>
      <w:r>
        <w:rPr>
          <w:b/>
          <w:color w:val="000000"/>
          <w:sz w:val="24"/>
          <w:szCs w:val="24"/>
        </w:rPr>
        <w:t>lgbti</w:t>
      </w:r>
      <w:proofErr w:type="spellEnd"/>
      <w:r>
        <w:rPr>
          <w:b/>
          <w:color w:val="000000"/>
          <w:sz w:val="24"/>
          <w:szCs w:val="24"/>
        </w:rPr>
        <w:t xml:space="preserve"> speaking group</w:t>
      </w:r>
    </w:p>
    <w:p w14:paraId="3A4F3C07" w14:textId="77777777" w:rsidR="00DE64A6" w:rsidRDefault="00000000">
      <w:pPr>
        <w:pBdr>
          <w:top w:val="nil"/>
          <w:left w:val="nil"/>
          <w:bottom w:val="nil"/>
          <w:right w:val="nil"/>
          <w:between w:val="nil"/>
        </w:pBdr>
        <w:spacing w:after="0" w:line="360" w:lineRule="auto"/>
        <w:jc w:val="both"/>
        <w:rPr>
          <w:color w:val="000000"/>
          <w:sz w:val="24"/>
          <w:szCs w:val="24"/>
        </w:rPr>
      </w:pPr>
      <w:r>
        <w:rPr>
          <w:color w:val="000000"/>
          <w:sz w:val="24"/>
          <w:szCs w:val="24"/>
        </w:rPr>
        <w:t>In 2019 the Banque Internationale à Luxembourg (BIL) launched several working groups on five themes relating to diversity: cultural origins, intergenerational relations, people with disabilities or illness and sexual orientation.</w:t>
      </w:r>
    </w:p>
    <w:p w14:paraId="0CBEBADA" w14:textId="77777777" w:rsidR="00DE64A6" w:rsidRDefault="00000000">
      <w:pPr>
        <w:pBdr>
          <w:top w:val="nil"/>
          <w:left w:val="nil"/>
          <w:bottom w:val="nil"/>
          <w:right w:val="nil"/>
          <w:between w:val="nil"/>
        </w:pBdr>
        <w:spacing w:after="0" w:line="360" w:lineRule="auto"/>
        <w:jc w:val="both"/>
        <w:rPr>
          <w:color w:val="000000"/>
          <w:sz w:val="24"/>
          <w:szCs w:val="24"/>
        </w:rPr>
      </w:pPr>
      <w:r>
        <w:rPr>
          <w:color w:val="000000"/>
          <w:sz w:val="24"/>
          <w:szCs w:val="24"/>
        </w:rPr>
        <w:t>The latter group was initially a talk group that quickly generated a lot of interest. Also, the people involved in this group felt listened to. The aim of this group today is to carry out concrete actions and, in this direction, several original ideas to promote the inclusion of LGBTI people are in the making.</w:t>
      </w:r>
    </w:p>
    <w:p w14:paraId="0C12FCAA" w14:textId="77777777" w:rsidR="00DE64A6" w:rsidRDefault="00000000">
      <w:pPr>
        <w:pBdr>
          <w:top w:val="nil"/>
          <w:left w:val="nil"/>
          <w:bottom w:val="nil"/>
          <w:right w:val="nil"/>
          <w:between w:val="nil"/>
        </w:pBdr>
        <w:spacing w:after="0" w:line="360" w:lineRule="auto"/>
        <w:jc w:val="both"/>
        <w:rPr>
          <w:color w:val="000000"/>
          <w:sz w:val="24"/>
          <w:szCs w:val="24"/>
        </w:rPr>
      </w:pPr>
      <w:r>
        <w:rPr>
          <w:color w:val="000000"/>
          <w:sz w:val="24"/>
          <w:szCs w:val="24"/>
        </w:rPr>
        <w:lastRenderedPageBreak/>
        <w:t>The focus is to assess the feeling of inclusion in your business. All the actions carried out around personnel management and communication (internal or external) have an impact on the feeling of inclusion and belonging. ("Release of the first best practices guide", 2021</w:t>
      </w:r>
      <w:r>
        <w:rPr>
          <w:rFonts w:ascii="Open Sans" w:eastAsia="Open Sans" w:hAnsi="Open Sans" w:cs="Open Sans"/>
          <w:color w:val="000000"/>
          <w:sz w:val="20"/>
          <w:szCs w:val="20"/>
          <w:highlight w:val="white"/>
        </w:rPr>
        <w:t>)</w:t>
      </w:r>
    </w:p>
    <w:p w14:paraId="4F73B377" w14:textId="77777777" w:rsidR="00DE64A6" w:rsidRDefault="00DE64A6">
      <w:pPr>
        <w:pBdr>
          <w:top w:val="nil"/>
          <w:left w:val="nil"/>
          <w:bottom w:val="nil"/>
          <w:right w:val="nil"/>
          <w:between w:val="nil"/>
        </w:pBdr>
        <w:spacing w:after="0" w:line="360" w:lineRule="auto"/>
        <w:jc w:val="both"/>
        <w:rPr>
          <w:color w:val="000000"/>
          <w:sz w:val="24"/>
          <w:szCs w:val="24"/>
        </w:rPr>
      </w:pPr>
    </w:p>
    <w:p w14:paraId="24B8AE6E" w14:textId="77777777" w:rsidR="00DE64A6" w:rsidRDefault="00000000">
      <w:pPr>
        <w:pBdr>
          <w:top w:val="nil"/>
          <w:left w:val="nil"/>
          <w:bottom w:val="nil"/>
          <w:right w:val="nil"/>
          <w:between w:val="nil"/>
        </w:pBdr>
        <w:spacing w:after="0" w:line="360" w:lineRule="auto"/>
        <w:jc w:val="both"/>
        <w:rPr>
          <w:color w:val="000000"/>
          <w:sz w:val="24"/>
          <w:szCs w:val="24"/>
        </w:rPr>
      </w:pPr>
      <w:r>
        <w:rPr>
          <w:b/>
          <w:color w:val="000000"/>
          <w:sz w:val="24"/>
          <w:szCs w:val="24"/>
        </w:rPr>
        <w:t xml:space="preserve">3. Available support services and useful contacts </w:t>
      </w:r>
      <w:r>
        <w:rPr>
          <w:color w:val="000000"/>
          <w:sz w:val="24"/>
          <w:szCs w:val="24"/>
        </w:rPr>
        <w:t>(no word limit)</w:t>
      </w:r>
    </w:p>
    <w:p w14:paraId="5C086F67" w14:textId="77777777" w:rsidR="00DE64A6" w:rsidRDefault="00000000">
      <w:pPr>
        <w:pBdr>
          <w:top w:val="nil"/>
          <w:left w:val="nil"/>
          <w:bottom w:val="nil"/>
          <w:right w:val="nil"/>
          <w:between w:val="nil"/>
        </w:pBdr>
        <w:spacing w:after="0" w:line="360" w:lineRule="auto"/>
        <w:jc w:val="both"/>
        <w:rPr>
          <w:color w:val="000000"/>
          <w:sz w:val="24"/>
          <w:szCs w:val="24"/>
        </w:rPr>
      </w:pPr>
      <w:r>
        <w:rPr>
          <w:color w:val="000000"/>
          <w:sz w:val="24"/>
          <w:szCs w:val="24"/>
        </w:rPr>
        <w:t xml:space="preserve">A list (bullets) with support services providers for LGBTQI people in need - or people in need in general, whether they are LGBTQI or not - from both public and private/CSO sector, including a short description of services provided and contact information. Examples may include helplines and/or shelters for vulnerable people and people in need, LGBTQI+ and other human rights organizations, public social services etc. </w:t>
      </w:r>
    </w:p>
    <w:p w14:paraId="4AA69A29" w14:textId="77777777" w:rsidR="00DE64A6" w:rsidRDefault="00000000">
      <w:pPr>
        <w:numPr>
          <w:ilvl w:val="0"/>
          <w:numId w:val="2"/>
        </w:numPr>
        <w:pBdr>
          <w:top w:val="nil"/>
          <w:left w:val="nil"/>
          <w:bottom w:val="nil"/>
          <w:right w:val="nil"/>
          <w:between w:val="nil"/>
        </w:pBdr>
        <w:spacing w:after="0" w:line="360" w:lineRule="auto"/>
        <w:rPr>
          <w:color w:val="000000"/>
          <w:sz w:val="24"/>
          <w:szCs w:val="24"/>
        </w:rPr>
      </w:pPr>
      <w:hyperlink r:id="rId9">
        <w:r>
          <w:rPr>
            <w:rFonts w:ascii="Open Sans" w:eastAsia="Open Sans" w:hAnsi="Open Sans" w:cs="Open Sans"/>
            <w:color w:val="23527C"/>
            <w:u w:val="single"/>
          </w:rPr>
          <w:t xml:space="preserve">Rosa </w:t>
        </w:r>
        <w:proofErr w:type="spellStart"/>
        <w:r>
          <w:rPr>
            <w:rFonts w:ascii="Open Sans" w:eastAsia="Open Sans" w:hAnsi="Open Sans" w:cs="Open Sans"/>
            <w:color w:val="23527C"/>
            <w:u w:val="single"/>
          </w:rPr>
          <w:t>Lëtzebuerg</w:t>
        </w:r>
        <w:proofErr w:type="spellEnd"/>
      </w:hyperlink>
      <w:r>
        <w:rPr>
          <w:rFonts w:ascii="Open Sans" w:eastAsia="Open Sans" w:hAnsi="Open Sans" w:cs="Open Sans"/>
          <w:b/>
          <w:color w:val="333333"/>
          <w:highlight w:val="white"/>
        </w:rPr>
        <w:t> </w:t>
      </w:r>
      <w:r>
        <w:rPr>
          <w:rFonts w:ascii="Open Sans" w:eastAsia="Open Sans" w:hAnsi="Open Sans" w:cs="Open Sans"/>
          <w:color w:val="333333"/>
          <w:highlight w:val="white"/>
        </w:rPr>
        <w:t>is the main LGBT association in Luxembourg. Their website provides information about regional LGBT events and activities as well as current directories of bars, restaurants or any other addresses in and around Luxembourg that are of interest for the LGBT population.</w:t>
      </w:r>
    </w:p>
    <w:p w14:paraId="7474E544" w14:textId="77777777" w:rsidR="00DE64A6" w:rsidRDefault="00000000">
      <w:pPr>
        <w:numPr>
          <w:ilvl w:val="0"/>
          <w:numId w:val="2"/>
        </w:numPr>
        <w:pBdr>
          <w:top w:val="nil"/>
          <w:left w:val="nil"/>
          <w:bottom w:val="nil"/>
          <w:right w:val="nil"/>
          <w:between w:val="nil"/>
        </w:pBdr>
        <w:spacing w:after="0" w:line="360" w:lineRule="auto"/>
        <w:jc w:val="both"/>
        <w:rPr>
          <w:color w:val="000000"/>
          <w:sz w:val="24"/>
          <w:szCs w:val="24"/>
        </w:rPr>
      </w:pPr>
      <w:hyperlink r:id="rId10">
        <w:r>
          <w:rPr>
            <w:rFonts w:ascii="Open Sans" w:eastAsia="Open Sans" w:hAnsi="Open Sans" w:cs="Open Sans"/>
            <w:color w:val="337AB7"/>
            <w:u w:val="single"/>
          </w:rPr>
          <w:t>CIGALE</w:t>
        </w:r>
      </w:hyperlink>
      <w:r>
        <w:rPr>
          <w:rFonts w:ascii="Open Sans" w:eastAsia="Open Sans" w:hAnsi="Open Sans" w:cs="Open Sans"/>
          <w:b/>
          <w:color w:val="333333"/>
          <w:highlight w:val="white"/>
        </w:rPr>
        <w:t> </w:t>
      </w:r>
      <w:r>
        <w:rPr>
          <w:rFonts w:ascii="Open Sans" w:eastAsia="Open Sans" w:hAnsi="Open Sans" w:cs="Open Sans"/>
          <w:color w:val="333333"/>
          <w:highlight w:val="white"/>
        </w:rPr>
        <w:t>is an LGBT information and counselling centre that provides advice to anyone who is looking for information on subjects like homosexuality, sexual orientation in general and gender identity. The centre also provides professional coming-out support at any age and can assist with many other issues.</w:t>
      </w:r>
    </w:p>
    <w:p w14:paraId="438C61C1" w14:textId="77777777" w:rsidR="00DE64A6" w:rsidRDefault="00000000">
      <w:pPr>
        <w:numPr>
          <w:ilvl w:val="0"/>
          <w:numId w:val="2"/>
        </w:numPr>
        <w:pBdr>
          <w:top w:val="nil"/>
          <w:left w:val="nil"/>
          <w:bottom w:val="nil"/>
          <w:right w:val="nil"/>
          <w:between w:val="nil"/>
        </w:pBdr>
        <w:spacing w:after="0" w:line="360" w:lineRule="auto"/>
        <w:jc w:val="both"/>
        <w:rPr>
          <w:color w:val="000000"/>
          <w:sz w:val="24"/>
          <w:szCs w:val="24"/>
        </w:rPr>
      </w:pPr>
      <w:hyperlink r:id="rId11">
        <w:r>
          <w:rPr>
            <w:rFonts w:ascii="Open Sans" w:eastAsia="Open Sans" w:hAnsi="Open Sans" w:cs="Open Sans"/>
            <w:color w:val="337AB7"/>
            <w:u w:val="single"/>
          </w:rPr>
          <w:t>CET</w:t>
        </w:r>
      </w:hyperlink>
      <w:r>
        <w:rPr>
          <w:rFonts w:ascii="Open Sans" w:eastAsia="Open Sans" w:hAnsi="Open Sans" w:cs="Open Sans"/>
          <w:color w:val="333333"/>
          <w:highlight w:val="white"/>
        </w:rPr>
        <w:t> (</w:t>
      </w:r>
      <w:r>
        <w:rPr>
          <w:rFonts w:ascii="Open Sans" w:eastAsia="Open Sans" w:hAnsi="Open Sans" w:cs="Open Sans"/>
          <w:i/>
          <w:color w:val="333333"/>
          <w:highlight w:val="white"/>
        </w:rPr>
        <w:t>The Centre for Equal Treatment</w:t>
      </w:r>
      <w:r>
        <w:rPr>
          <w:rFonts w:ascii="Open Sans" w:eastAsia="Open Sans" w:hAnsi="Open Sans" w:cs="Open Sans"/>
          <w:color w:val="333333"/>
          <w:highlight w:val="white"/>
        </w:rPr>
        <w:t>) is an organisation promoting, analysing and monitoring equal treatment of all people without discrimination based on gender, sexual orientation, age, disability, religious beliefs or ethnic background.</w:t>
      </w:r>
    </w:p>
    <w:p w14:paraId="7B8F1349" w14:textId="77777777" w:rsidR="00DE64A6" w:rsidRDefault="00000000">
      <w:pPr>
        <w:numPr>
          <w:ilvl w:val="0"/>
          <w:numId w:val="2"/>
        </w:numPr>
        <w:pBdr>
          <w:top w:val="nil"/>
          <w:left w:val="nil"/>
          <w:bottom w:val="nil"/>
          <w:right w:val="nil"/>
          <w:between w:val="nil"/>
        </w:pBdr>
        <w:spacing w:after="0" w:line="360" w:lineRule="auto"/>
        <w:jc w:val="both"/>
        <w:rPr>
          <w:color w:val="000000"/>
          <w:sz w:val="24"/>
          <w:szCs w:val="24"/>
        </w:rPr>
      </w:pPr>
      <w:hyperlink r:id="rId12">
        <w:r>
          <w:rPr>
            <w:rFonts w:ascii="Open Sans" w:eastAsia="Open Sans" w:hAnsi="Open Sans" w:cs="Open Sans"/>
            <w:color w:val="0563C1"/>
            <w:highlight w:val="white"/>
            <w:u w:val="single"/>
          </w:rPr>
          <w:t>Transgender Luxembourg (TGL)</w:t>
        </w:r>
      </w:hyperlink>
      <w:r>
        <w:rPr>
          <w:rFonts w:ascii="Open Sans" w:eastAsia="Open Sans" w:hAnsi="Open Sans" w:cs="Open Sans"/>
          <w:color w:val="333333"/>
          <w:highlight w:val="white"/>
        </w:rPr>
        <w:t xml:space="preserve"> is an organisation that is lobbying for transgender and intersex rights. TGL provides advice and support for a variety of transgender and intersex issues online, via telephone and/or face-to-face. English, French, German and Luxemburgish are spoken.</w:t>
      </w:r>
    </w:p>
    <w:p w14:paraId="3AE3C01F" w14:textId="77777777" w:rsidR="00DE64A6" w:rsidRDefault="00000000">
      <w:pPr>
        <w:numPr>
          <w:ilvl w:val="0"/>
          <w:numId w:val="2"/>
        </w:numPr>
        <w:pBdr>
          <w:top w:val="nil"/>
          <w:left w:val="nil"/>
          <w:bottom w:val="nil"/>
          <w:right w:val="nil"/>
          <w:between w:val="nil"/>
        </w:pBdr>
        <w:spacing w:after="0" w:line="360" w:lineRule="auto"/>
        <w:jc w:val="both"/>
        <w:rPr>
          <w:color w:val="000000"/>
          <w:sz w:val="24"/>
          <w:szCs w:val="24"/>
        </w:rPr>
      </w:pPr>
      <w:hyperlink r:id="rId13">
        <w:r>
          <w:rPr>
            <w:rFonts w:ascii="Open Sans" w:eastAsia="Open Sans" w:hAnsi="Open Sans" w:cs="Open Sans"/>
            <w:color w:val="0563C1"/>
            <w:highlight w:val="white"/>
            <w:u w:val="single"/>
          </w:rPr>
          <w:t>LCGB</w:t>
        </w:r>
      </w:hyperlink>
      <w:r>
        <w:rPr>
          <w:rFonts w:ascii="Open Sans" w:eastAsia="Open Sans" w:hAnsi="Open Sans" w:cs="Open Sans"/>
          <w:color w:val="333333"/>
          <w:highlight w:val="white"/>
        </w:rPr>
        <w:t xml:space="preserve"> As a union, the LCGB is committed to defending the interests of employees in all  sectors. Due to its history and his experience in the field, it focuses more particularly on the issues and challenges of the private sector. Through its action, the LCGB works to protect the existence of employees.</w:t>
      </w:r>
    </w:p>
    <w:p w14:paraId="4E4E2E9E" w14:textId="77777777" w:rsidR="00DE64A6" w:rsidRDefault="00000000">
      <w:pPr>
        <w:numPr>
          <w:ilvl w:val="0"/>
          <w:numId w:val="2"/>
        </w:numPr>
        <w:pBdr>
          <w:top w:val="nil"/>
          <w:left w:val="nil"/>
          <w:bottom w:val="nil"/>
          <w:right w:val="nil"/>
          <w:between w:val="nil"/>
        </w:pBdr>
        <w:spacing w:after="0" w:line="360" w:lineRule="auto"/>
        <w:jc w:val="both"/>
        <w:rPr>
          <w:color w:val="000000"/>
          <w:sz w:val="24"/>
          <w:szCs w:val="24"/>
        </w:rPr>
      </w:pPr>
      <w:hyperlink r:id="rId14">
        <w:r>
          <w:rPr>
            <w:color w:val="0563C1"/>
            <w:sz w:val="24"/>
            <w:szCs w:val="24"/>
            <w:u w:val="single"/>
          </w:rPr>
          <w:t>CFFM</w:t>
        </w:r>
      </w:hyperlink>
      <w:r>
        <w:rPr>
          <w:color w:val="000000"/>
          <w:sz w:val="24"/>
          <w:szCs w:val="24"/>
        </w:rPr>
        <w:t xml:space="preserve"> the Center for Women, Families and Single-Parent Families was created in 1986 in order to respond to the multitude of difficulties faced by women and single-parent families in daily life, either with their entourage, the care of their children, the search for assistance. a job and / or accommodation, the reconciliation of professional and family tasks.</w:t>
      </w:r>
    </w:p>
    <w:p w14:paraId="285F3692" w14:textId="77777777" w:rsidR="00DE64A6" w:rsidRDefault="00000000">
      <w:pPr>
        <w:numPr>
          <w:ilvl w:val="0"/>
          <w:numId w:val="2"/>
        </w:numPr>
        <w:pBdr>
          <w:top w:val="nil"/>
          <w:left w:val="nil"/>
          <w:bottom w:val="nil"/>
          <w:right w:val="nil"/>
          <w:between w:val="nil"/>
        </w:pBdr>
        <w:spacing w:after="0" w:line="360" w:lineRule="auto"/>
        <w:jc w:val="both"/>
        <w:rPr>
          <w:color w:val="000000"/>
          <w:sz w:val="24"/>
          <w:szCs w:val="24"/>
        </w:rPr>
      </w:pPr>
      <w:hyperlink r:id="rId15" w:anchor="more-693">
        <w:r>
          <w:rPr>
            <w:color w:val="0563C1"/>
            <w:sz w:val="24"/>
            <w:szCs w:val="24"/>
            <w:u w:val="single"/>
          </w:rPr>
          <w:t xml:space="preserve">Social Office Canton de </w:t>
        </w:r>
        <w:proofErr w:type="spellStart"/>
        <w:r>
          <w:rPr>
            <w:color w:val="0563C1"/>
            <w:sz w:val="24"/>
            <w:szCs w:val="24"/>
            <w:u w:val="single"/>
          </w:rPr>
          <w:t>Redange</w:t>
        </w:r>
        <w:proofErr w:type="spellEnd"/>
        <w:r>
          <w:rPr>
            <w:color w:val="0563C1"/>
            <w:sz w:val="24"/>
            <w:szCs w:val="24"/>
            <w:u w:val="single"/>
          </w:rPr>
          <w:t>:</w:t>
        </w:r>
      </w:hyperlink>
      <w:r>
        <w:rPr>
          <w:color w:val="000000"/>
          <w:sz w:val="24"/>
          <w:szCs w:val="24"/>
        </w:rPr>
        <w:t xml:space="preserve"> The Social Office provides support and supervision in the short, medium and long term for people requiring help during times of crisis or difficult periods. In this context, the social worker offers consultations within the Social Office, makes home visits or in institutions, participates in professional meetings and collaborates with regional and national medico-psycho-social services.</w:t>
      </w:r>
    </w:p>
    <w:p w14:paraId="67BD4A57" w14:textId="77777777" w:rsidR="00DE64A6" w:rsidRDefault="00000000">
      <w:pPr>
        <w:numPr>
          <w:ilvl w:val="0"/>
          <w:numId w:val="2"/>
        </w:numPr>
        <w:pBdr>
          <w:top w:val="nil"/>
          <w:left w:val="nil"/>
          <w:bottom w:val="nil"/>
          <w:right w:val="nil"/>
          <w:between w:val="nil"/>
        </w:pBdr>
        <w:spacing w:after="0" w:line="360" w:lineRule="auto"/>
        <w:jc w:val="both"/>
        <w:rPr>
          <w:color w:val="000000"/>
          <w:sz w:val="24"/>
          <w:szCs w:val="24"/>
        </w:rPr>
      </w:pPr>
      <w:hyperlink r:id="rId16">
        <w:r>
          <w:rPr>
            <w:color w:val="0563C1"/>
            <w:sz w:val="24"/>
            <w:szCs w:val="24"/>
            <w:u w:val="single"/>
          </w:rPr>
          <w:t>arcus</w:t>
        </w:r>
      </w:hyperlink>
      <w:r>
        <w:rPr>
          <w:color w:val="000000"/>
          <w:sz w:val="24"/>
          <w:szCs w:val="24"/>
        </w:rPr>
        <w:t xml:space="preserve"> is a non-profit association that emerged from Christian-inspired charitable relief organizations that have had social, educational, educational and therapeutic work with children, young people and families as a common concern for more than 60 years.</w:t>
      </w:r>
    </w:p>
    <w:p w14:paraId="63D9DA7F" w14:textId="77777777" w:rsidR="00DE64A6" w:rsidRDefault="00DE64A6">
      <w:pPr>
        <w:spacing w:after="0" w:line="360" w:lineRule="auto"/>
        <w:rPr>
          <w:sz w:val="24"/>
          <w:szCs w:val="24"/>
        </w:rPr>
      </w:pPr>
    </w:p>
    <w:p w14:paraId="37A033BF" w14:textId="77777777" w:rsidR="00DE64A6" w:rsidRDefault="00000000">
      <w:pPr>
        <w:pStyle w:val="Kop3"/>
      </w:pPr>
      <w:bookmarkStart w:id="2" w:name="_heading=h.2jxsxqh" w:colFirst="0" w:colLast="0"/>
      <w:bookmarkEnd w:id="2"/>
      <w:r>
        <w:t>Part B: Field/primary Research Results</w:t>
      </w:r>
    </w:p>
    <w:p w14:paraId="17EDF8A9" w14:textId="77777777" w:rsidR="00DE64A6" w:rsidRDefault="00DE64A6">
      <w:pPr>
        <w:spacing w:after="0" w:line="360" w:lineRule="auto"/>
        <w:jc w:val="both"/>
        <w:rPr>
          <w:sz w:val="24"/>
          <w:szCs w:val="24"/>
        </w:rPr>
      </w:pPr>
    </w:p>
    <w:p w14:paraId="1F692FCE" w14:textId="77777777" w:rsidR="00DE64A6" w:rsidRDefault="00000000">
      <w:pPr>
        <w:pStyle w:val="Kop4"/>
      </w:pPr>
      <w:bookmarkStart w:id="3" w:name="_heading=h.2bn6wsx" w:colFirst="0" w:colLast="0"/>
      <w:bookmarkEnd w:id="3"/>
      <w:r>
        <w:t>Professionals</w:t>
      </w:r>
    </w:p>
    <w:p w14:paraId="215BC575" w14:textId="77777777" w:rsidR="00DE64A6" w:rsidRDefault="00000000">
      <w:pPr>
        <w:spacing w:after="0" w:line="360" w:lineRule="auto"/>
        <w:jc w:val="both"/>
        <w:rPr>
          <w:b/>
          <w:sz w:val="24"/>
          <w:szCs w:val="24"/>
        </w:rPr>
      </w:pPr>
      <w:r>
        <w:rPr>
          <w:b/>
          <w:sz w:val="24"/>
          <w:szCs w:val="24"/>
        </w:rPr>
        <w:t xml:space="preserve">1. Summary analysis of focus groups (and/or interviews) with professionals (support services providers) </w:t>
      </w:r>
      <w:r>
        <w:rPr>
          <w:sz w:val="24"/>
          <w:szCs w:val="24"/>
        </w:rPr>
        <w:t>(</w:t>
      </w:r>
      <w:r>
        <w:rPr>
          <w:color w:val="000000"/>
          <w:sz w:val="24"/>
          <w:szCs w:val="24"/>
        </w:rPr>
        <w:t xml:space="preserve">approx. </w:t>
      </w:r>
      <w:r>
        <w:rPr>
          <w:sz w:val="24"/>
          <w:szCs w:val="24"/>
        </w:rPr>
        <w:t>1000 words)</w:t>
      </w:r>
    </w:p>
    <w:p w14:paraId="58B2E841" w14:textId="77777777" w:rsidR="00DE64A6" w:rsidRDefault="00000000">
      <w:pPr>
        <w:spacing w:after="0" w:line="360" w:lineRule="auto"/>
        <w:jc w:val="both"/>
        <w:rPr>
          <w:sz w:val="24"/>
          <w:szCs w:val="24"/>
        </w:rPr>
      </w:pPr>
      <w:r>
        <w:rPr>
          <w:sz w:val="24"/>
          <w:szCs w:val="24"/>
        </w:rPr>
        <w:t xml:space="preserve">Profile of participants (or interviewees), the status of LGBTQI people during the pandemic, good practices, initiatives and available options, needs’ assessment </w:t>
      </w:r>
    </w:p>
    <w:tbl>
      <w:tblPr>
        <w:tblStyle w:val="a8"/>
        <w:tblW w:w="102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8"/>
        <w:gridCol w:w="4131"/>
        <w:gridCol w:w="1473"/>
        <w:gridCol w:w="2079"/>
        <w:gridCol w:w="1663"/>
      </w:tblGrid>
      <w:tr w:rsidR="00DE64A6" w14:paraId="1FBD34FB" w14:textId="77777777">
        <w:trPr>
          <w:trHeight w:val="1232"/>
          <w:jc w:val="center"/>
        </w:trPr>
        <w:tc>
          <w:tcPr>
            <w:tcW w:w="898" w:type="dxa"/>
          </w:tcPr>
          <w:p w14:paraId="6284DBC7" w14:textId="77777777" w:rsidR="00DE64A6" w:rsidRDefault="00000000">
            <w:pPr>
              <w:rPr>
                <w:b/>
                <w:sz w:val="20"/>
                <w:szCs w:val="20"/>
              </w:rPr>
            </w:pPr>
            <w:r>
              <w:rPr>
                <w:b/>
                <w:sz w:val="20"/>
                <w:szCs w:val="20"/>
              </w:rPr>
              <w:t xml:space="preserve">Participant </w:t>
            </w:r>
            <w:r>
              <w:rPr>
                <w:sz w:val="20"/>
                <w:szCs w:val="20"/>
              </w:rPr>
              <w:t>(or interviewee)</w:t>
            </w:r>
          </w:p>
        </w:tc>
        <w:tc>
          <w:tcPr>
            <w:tcW w:w="4131" w:type="dxa"/>
          </w:tcPr>
          <w:p w14:paraId="1DF05D27" w14:textId="77777777" w:rsidR="00DE64A6" w:rsidRDefault="00000000">
            <w:pPr>
              <w:jc w:val="center"/>
              <w:rPr>
                <w:b/>
                <w:sz w:val="20"/>
                <w:szCs w:val="20"/>
              </w:rPr>
            </w:pPr>
            <w:r>
              <w:rPr>
                <w:b/>
                <w:sz w:val="20"/>
                <w:szCs w:val="20"/>
              </w:rPr>
              <w:t>Type of organization / body / institution</w:t>
            </w:r>
            <w:r>
              <w:rPr>
                <w:sz w:val="20"/>
                <w:szCs w:val="20"/>
              </w:rPr>
              <w:t xml:space="preserve"> (e.g., public social service, helpline, labour office, LGBTQI organization, human rights organization, VET school etc.)</w:t>
            </w:r>
          </w:p>
        </w:tc>
        <w:tc>
          <w:tcPr>
            <w:tcW w:w="1473" w:type="dxa"/>
          </w:tcPr>
          <w:p w14:paraId="29325E50" w14:textId="77777777" w:rsidR="00DE64A6" w:rsidRDefault="00000000">
            <w:pPr>
              <w:jc w:val="center"/>
              <w:rPr>
                <w:b/>
                <w:sz w:val="20"/>
                <w:szCs w:val="20"/>
              </w:rPr>
            </w:pPr>
            <w:r>
              <w:rPr>
                <w:b/>
                <w:sz w:val="20"/>
                <w:szCs w:val="20"/>
              </w:rPr>
              <w:t xml:space="preserve">Position / Role of participant </w:t>
            </w:r>
            <w:r>
              <w:rPr>
                <w:sz w:val="20"/>
                <w:szCs w:val="20"/>
              </w:rPr>
              <w:t>(or interviewee)</w:t>
            </w:r>
          </w:p>
        </w:tc>
        <w:tc>
          <w:tcPr>
            <w:tcW w:w="2079" w:type="dxa"/>
          </w:tcPr>
          <w:p w14:paraId="0C58DEEF" w14:textId="77777777" w:rsidR="00DE64A6" w:rsidRDefault="00000000">
            <w:pPr>
              <w:jc w:val="center"/>
              <w:rPr>
                <w:b/>
                <w:sz w:val="20"/>
                <w:szCs w:val="20"/>
              </w:rPr>
            </w:pPr>
            <w:r>
              <w:rPr>
                <w:b/>
                <w:sz w:val="20"/>
                <w:szCs w:val="20"/>
              </w:rPr>
              <w:t xml:space="preserve">Years of expertise of participant </w:t>
            </w:r>
            <w:r>
              <w:rPr>
                <w:sz w:val="20"/>
                <w:szCs w:val="20"/>
              </w:rPr>
              <w:t>(or interviewee)</w:t>
            </w:r>
            <w:r>
              <w:rPr>
                <w:b/>
                <w:sz w:val="20"/>
                <w:szCs w:val="20"/>
              </w:rPr>
              <w:t xml:space="preserve"> </w:t>
            </w:r>
            <w:r>
              <w:rPr>
                <w:sz w:val="20"/>
                <w:szCs w:val="20"/>
              </w:rPr>
              <w:t>in the aforementioned position/role</w:t>
            </w:r>
          </w:p>
        </w:tc>
        <w:tc>
          <w:tcPr>
            <w:tcW w:w="1663" w:type="dxa"/>
          </w:tcPr>
          <w:p w14:paraId="486D2F52" w14:textId="77777777" w:rsidR="00DE64A6" w:rsidRDefault="00000000">
            <w:pPr>
              <w:jc w:val="center"/>
              <w:rPr>
                <w:b/>
                <w:sz w:val="20"/>
                <w:szCs w:val="20"/>
              </w:rPr>
            </w:pPr>
            <w:r>
              <w:rPr>
                <w:b/>
                <w:sz w:val="20"/>
                <w:szCs w:val="20"/>
              </w:rPr>
              <w:t xml:space="preserve">Educational/scientific background of participant </w:t>
            </w:r>
            <w:r>
              <w:rPr>
                <w:sz w:val="20"/>
                <w:szCs w:val="20"/>
              </w:rPr>
              <w:t>(or interviewee)</w:t>
            </w:r>
          </w:p>
        </w:tc>
      </w:tr>
      <w:tr w:rsidR="00DE64A6" w14:paraId="1B8CAA93" w14:textId="77777777">
        <w:trPr>
          <w:trHeight w:val="300"/>
          <w:jc w:val="center"/>
        </w:trPr>
        <w:tc>
          <w:tcPr>
            <w:tcW w:w="898" w:type="dxa"/>
          </w:tcPr>
          <w:p w14:paraId="38A65302" w14:textId="77777777" w:rsidR="00DE64A6" w:rsidRDefault="00000000">
            <w:pPr>
              <w:jc w:val="center"/>
              <w:rPr>
                <w:b/>
                <w:sz w:val="20"/>
                <w:szCs w:val="20"/>
              </w:rPr>
            </w:pPr>
            <w:r>
              <w:rPr>
                <w:b/>
                <w:sz w:val="20"/>
                <w:szCs w:val="20"/>
              </w:rPr>
              <w:t>1</w:t>
            </w:r>
          </w:p>
        </w:tc>
        <w:tc>
          <w:tcPr>
            <w:tcW w:w="4131" w:type="dxa"/>
          </w:tcPr>
          <w:p w14:paraId="5FCB34B0" w14:textId="77777777" w:rsidR="00DE64A6" w:rsidRDefault="00000000">
            <w:pPr>
              <w:rPr>
                <w:sz w:val="20"/>
                <w:szCs w:val="20"/>
              </w:rPr>
            </w:pPr>
            <w:r>
              <w:rPr>
                <w:sz w:val="20"/>
                <w:szCs w:val="20"/>
              </w:rPr>
              <w:t>LCGB Info-</w:t>
            </w:r>
            <w:proofErr w:type="spellStart"/>
            <w:r>
              <w:rPr>
                <w:sz w:val="20"/>
                <w:szCs w:val="20"/>
              </w:rPr>
              <w:t>center</w:t>
            </w:r>
            <w:proofErr w:type="spellEnd"/>
            <w:r>
              <w:rPr>
                <w:sz w:val="20"/>
                <w:szCs w:val="20"/>
              </w:rPr>
              <w:t xml:space="preserve"> consultations by appointment </w:t>
            </w:r>
          </w:p>
        </w:tc>
        <w:tc>
          <w:tcPr>
            <w:tcW w:w="1473" w:type="dxa"/>
          </w:tcPr>
          <w:p w14:paraId="11B13049" w14:textId="77777777" w:rsidR="00DE64A6" w:rsidRDefault="00000000">
            <w:pPr>
              <w:rPr>
                <w:sz w:val="20"/>
                <w:szCs w:val="20"/>
              </w:rPr>
            </w:pPr>
            <w:r>
              <w:rPr>
                <w:sz w:val="20"/>
                <w:szCs w:val="20"/>
              </w:rPr>
              <w:t>Counsellor</w:t>
            </w:r>
          </w:p>
        </w:tc>
        <w:tc>
          <w:tcPr>
            <w:tcW w:w="2079" w:type="dxa"/>
          </w:tcPr>
          <w:p w14:paraId="55962D05" w14:textId="77777777" w:rsidR="00DE64A6" w:rsidRDefault="00000000">
            <w:pPr>
              <w:rPr>
                <w:sz w:val="20"/>
                <w:szCs w:val="20"/>
              </w:rPr>
            </w:pPr>
            <w:r>
              <w:rPr>
                <w:sz w:val="20"/>
                <w:szCs w:val="20"/>
              </w:rPr>
              <w:t>Less than 5</w:t>
            </w:r>
          </w:p>
        </w:tc>
        <w:tc>
          <w:tcPr>
            <w:tcW w:w="1663" w:type="dxa"/>
          </w:tcPr>
          <w:p w14:paraId="7D4A041C" w14:textId="77777777" w:rsidR="00DE64A6" w:rsidRDefault="00000000">
            <w:pPr>
              <w:rPr>
                <w:sz w:val="20"/>
                <w:szCs w:val="20"/>
              </w:rPr>
            </w:pPr>
            <w:r>
              <w:rPr>
                <w:sz w:val="20"/>
                <w:szCs w:val="20"/>
              </w:rPr>
              <w:t>Higher Education Graduate</w:t>
            </w:r>
          </w:p>
        </w:tc>
      </w:tr>
      <w:tr w:rsidR="00DE64A6" w14:paraId="3D6C9D79" w14:textId="77777777">
        <w:trPr>
          <w:trHeight w:val="300"/>
          <w:jc w:val="center"/>
        </w:trPr>
        <w:tc>
          <w:tcPr>
            <w:tcW w:w="898" w:type="dxa"/>
          </w:tcPr>
          <w:p w14:paraId="7E787B60" w14:textId="77777777" w:rsidR="00DE64A6" w:rsidRDefault="00000000">
            <w:pPr>
              <w:jc w:val="center"/>
              <w:rPr>
                <w:b/>
                <w:sz w:val="20"/>
                <w:szCs w:val="20"/>
              </w:rPr>
            </w:pPr>
            <w:r>
              <w:rPr>
                <w:b/>
                <w:sz w:val="20"/>
                <w:szCs w:val="20"/>
              </w:rPr>
              <w:t>2</w:t>
            </w:r>
          </w:p>
        </w:tc>
        <w:tc>
          <w:tcPr>
            <w:tcW w:w="4131" w:type="dxa"/>
          </w:tcPr>
          <w:p w14:paraId="6F2217FE" w14:textId="77777777" w:rsidR="00DE64A6" w:rsidRDefault="00000000">
            <w:pPr>
              <w:rPr>
                <w:sz w:val="20"/>
                <w:szCs w:val="20"/>
              </w:rPr>
            </w:pPr>
            <w:r>
              <w:rPr>
                <w:sz w:val="20"/>
                <w:szCs w:val="20"/>
              </w:rPr>
              <w:t>Centre for Women and single-parent families</w:t>
            </w:r>
          </w:p>
        </w:tc>
        <w:tc>
          <w:tcPr>
            <w:tcW w:w="1473" w:type="dxa"/>
          </w:tcPr>
          <w:p w14:paraId="09FF70E0" w14:textId="77777777" w:rsidR="00DE64A6" w:rsidRDefault="00000000">
            <w:pPr>
              <w:rPr>
                <w:sz w:val="20"/>
                <w:szCs w:val="20"/>
              </w:rPr>
            </w:pPr>
            <w:r>
              <w:rPr>
                <w:sz w:val="20"/>
                <w:szCs w:val="20"/>
              </w:rPr>
              <w:t>Social worker</w:t>
            </w:r>
          </w:p>
        </w:tc>
        <w:tc>
          <w:tcPr>
            <w:tcW w:w="2079" w:type="dxa"/>
          </w:tcPr>
          <w:p w14:paraId="2799EFC2" w14:textId="77777777" w:rsidR="00DE64A6" w:rsidRDefault="00000000">
            <w:pPr>
              <w:rPr>
                <w:sz w:val="20"/>
                <w:szCs w:val="20"/>
              </w:rPr>
            </w:pPr>
            <w:r>
              <w:rPr>
                <w:sz w:val="20"/>
                <w:szCs w:val="20"/>
              </w:rPr>
              <w:t>Less than 5</w:t>
            </w:r>
          </w:p>
        </w:tc>
        <w:tc>
          <w:tcPr>
            <w:tcW w:w="1663" w:type="dxa"/>
          </w:tcPr>
          <w:p w14:paraId="578FA9A9" w14:textId="77777777" w:rsidR="00DE64A6" w:rsidRDefault="00000000">
            <w:pPr>
              <w:rPr>
                <w:sz w:val="20"/>
                <w:szCs w:val="20"/>
              </w:rPr>
            </w:pPr>
            <w:r>
              <w:rPr>
                <w:sz w:val="20"/>
                <w:szCs w:val="20"/>
              </w:rPr>
              <w:t>Higher Education Graduate</w:t>
            </w:r>
          </w:p>
        </w:tc>
      </w:tr>
      <w:tr w:rsidR="00DE64A6" w14:paraId="1A2802CC" w14:textId="77777777">
        <w:trPr>
          <w:trHeight w:val="901"/>
          <w:jc w:val="center"/>
        </w:trPr>
        <w:tc>
          <w:tcPr>
            <w:tcW w:w="898" w:type="dxa"/>
          </w:tcPr>
          <w:p w14:paraId="0AE20613" w14:textId="77777777" w:rsidR="00DE64A6" w:rsidRDefault="00000000">
            <w:pPr>
              <w:jc w:val="center"/>
              <w:rPr>
                <w:b/>
                <w:sz w:val="20"/>
                <w:szCs w:val="20"/>
              </w:rPr>
            </w:pPr>
            <w:r>
              <w:rPr>
                <w:b/>
                <w:sz w:val="20"/>
                <w:szCs w:val="20"/>
              </w:rPr>
              <w:t>3</w:t>
            </w:r>
          </w:p>
        </w:tc>
        <w:tc>
          <w:tcPr>
            <w:tcW w:w="4131" w:type="dxa"/>
          </w:tcPr>
          <w:p w14:paraId="1C0FB596" w14:textId="77777777" w:rsidR="00DE64A6" w:rsidRDefault="00000000">
            <w:pPr>
              <w:rPr>
                <w:sz w:val="20"/>
                <w:szCs w:val="20"/>
              </w:rPr>
            </w:pPr>
            <w:r>
              <w:rPr>
                <w:sz w:val="20"/>
                <w:szCs w:val="20"/>
              </w:rPr>
              <w:t>Solidarity action the Social Office</w:t>
            </w:r>
          </w:p>
        </w:tc>
        <w:tc>
          <w:tcPr>
            <w:tcW w:w="1473" w:type="dxa"/>
          </w:tcPr>
          <w:p w14:paraId="21B5F530" w14:textId="77777777" w:rsidR="00DE64A6" w:rsidRDefault="00000000">
            <w:pPr>
              <w:rPr>
                <w:sz w:val="20"/>
                <w:szCs w:val="20"/>
              </w:rPr>
            </w:pPr>
            <w:r>
              <w:rPr>
                <w:sz w:val="20"/>
                <w:szCs w:val="20"/>
              </w:rPr>
              <w:t>recipient of the Social</w:t>
            </w:r>
          </w:p>
          <w:p w14:paraId="5C8C0708" w14:textId="77777777" w:rsidR="00DE64A6" w:rsidRDefault="00000000">
            <w:pPr>
              <w:rPr>
                <w:sz w:val="20"/>
                <w:szCs w:val="20"/>
              </w:rPr>
            </w:pPr>
            <w:r>
              <w:rPr>
                <w:sz w:val="20"/>
                <w:szCs w:val="20"/>
              </w:rPr>
              <w:t>Mail Office</w:t>
            </w:r>
          </w:p>
        </w:tc>
        <w:tc>
          <w:tcPr>
            <w:tcW w:w="2079" w:type="dxa"/>
          </w:tcPr>
          <w:p w14:paraId="02F69A86" w14:textId="77777777" w:rsidR="00DE64A6" w:rsidRDefault="00000000">
            <w:pPr>
              <w:rPr>
                <w:sz w:val="20"/>
                <w:szCs w:val="20"/>
              </w:rPr>
            </w:pPr>
            <w:r>
              <w:rPr>
                <w:sz w:val="20"/>
                <w:szCs w:val="20"/>
              </w:rPr>
              <w:t>More than 5</w:t>
            </w:r>
          </w:p>
        </w:tc>
        <w:tc>
          <w:tcPr>
            <w:tcW w:w="1663" w:type="dxa"/>
          </w:tcPr>
          <w:p w14:paraId="4992A746" w14:textId="77777777" w:rsidR="00DE64A6" w:rsidRDefault="00000000">
            <w:pPr>
              <w:rPr>
                <w:sz w:val="20"/>
                <w:szCs w:val="20"/>
              </w:rPr>
            </w:pPr>
            <w:r>
              <w:rPr>
                <w:sz w:val="20"/>
                <w:szCs w:val="20"/>
              </w:rPr>
              <w:t>Higher Education Graduate</w:t>
            </w:r>
          </w:p>
        </w:tc>
      </w:tr>
      <w:tr w:rsidR="00DE64A6" w14:paraId="722CA21F" w14:textId="77777777">
        <w:trPr>
          <w:trHeight w:val="619"/>
          <w:jc w:val="center"/>
        </w:trPr>
        <w:tc>
          <w:tcPr>
            <w:tcW w:w="898" w:type="dxa"/>
          </w:tcPr>
          <w:p w14:paraId="0C0018D7" w14:textId="77777777" w:rsidR="00DE64A6" w:rsidRDefault="00000000">
            <w:pPr>
              <w:jc w:val="center"/>
              <w:rPr>
                <w:b/>
                <w:sz w:val="20"/>
                <w:szCs w:val="20"/>
              </w:rPr>
            </w:pPr>
            <w:r>
              <w:rPr>
                <w:b/>
                <w:sz w:val="20"/>
                <w:szCs w:val="20"/>
              </w:rPr>
              <w:lastRenderedPageBreak/>
              <w:t>4</w:t>
            </w:r>
          </w:p>
        </w:tc>
        <w:tc>
          <w:tcPr>
            <w:tcW w:w="4131" w:type="dxa"/>
          </w:tcPr>
          <w:p w14:paraId="7AC5A394" w14:textId="77777777" w:rsidR="00DE64A6" w:rsidRDefault="00000000">
            <w:pPr>
              <w:tabs>
                <w:tab w:val="left" w:pos="1200"/>
              </w:tabs>
              <w:rPr>
                <w:sz w:val="20"/>
                <w:szCs w:val="20"/>
              </w:rPr>
            </w:pPr>
            <w:r>
              <w:rPr>
                <w:sz w:val="20"/>
                <w:szCs w:val="20"/>
              </w:rPr>
              <w:t xml:space="preserve">Solidarity action the Social Office </w:t>
            </w:r>
          </w:p>
        </w:tc>
        <w:tc>
          <w:tcPr>
            <w:tcW w:w="1473" w:type="dxa"/>
          </w:tcPr>
          <w:p w14:paraId="0B215CCE" w14:textId="77777777" w:rsidR="00DE64A6" w:rsidRDefault="00000000">
            <w:pPr>
              <w:rPr>
                <w:sz w:val="20"/>
                <w:szCs w:val="20"/>
              </w:rPr>
            </w:pPr>
            <w:r>
              <w:rPr>
                <w:sz w:val="20"/>
                <w:szCs w:val="20"/>
              </w:rPr>
              <w:t>social hygiene assistant</w:t>
            </w:r>
          </w:p>
        </w:tc>
        <w:tc>
          <w:tcPr>
            <w:tcW w:w="2079" w:type="dxa"/>
          </w:tcPr>
          <w:p w14:paraId="19F1FE04" w14:textId="77777777" w:rsidR="00DE64A6" w:rsidRDefault="00000000">
            <w:pPr>
              <w:rPr>
                <w:sz w:val="20"/>
                <w:szCs w:val="20"/>
              </w:rPr>
            </w:pPr>
            <w:r>
              <w:rPr>
                <w:sz w:val="20"/>
                <w:szCs w:val="20"/>
              </w:rPr>
              <w:t>More than 5</w:t>
            </w:r>
          </w:p>
        </w:tc>
        <w:tc>
          <w:tcPr>
            <w:tcW w:w="1663" w:type="dxa"/>
          </w:tcPr>
          <w:p w14:paraId="73AA9540" w14:textId="77777777" w:rsidR="00DE64A6" w:rsidRDefault="00000000">
            <w:pPr>
              <w:rPr>
                <w:sz w:val="20"/>
                <w:szCs w:val="20"/>
              </w:rPr>
            </w:pPr>
            <w:r>
              <w:rPr>
                <w:sz w:val="20"/>
                <w:szCs w:val="20"/>
              </w:rPr>
              <w:t>Higher Education Graduate</w:t>
            </w:r>
          </w:p>
        </w:tc>
      </w:tr>
      <w:tr w:rsidR="00DE64A6" w14:paraId="7532B7D1" w14:textId="77777777">
        <w:trPr>
          <w:trHeight w:val="901"/>
          <w:jc w:val="center"/>
        </w:trPr>
        <w:tc>
          <w:tcPr>
            <w:tcW w:w="898" w:type="dxa"/>
          </w:tcPr>
          <w:p w14:paraId="3554726D" w14:textId="77777777" w:rsidR="00DE64A6" w:rsidRDefault="00000000">
            <w:pPr>
              <w:jc w:val="center"/>
              <w:rPr>
                <w:b/>
                <w:sz w:val="20"/>
                <w:szCs w:val="20"/>
              </w:rPr>
            </w:pPr>
            <w:r>
              <w:rPr>
                <w:b/>
                <w:sz w:val="20"/>
                <w:szCs w:val="20"/>
              </w:rPr>
              <w:t>5</w:t>
            </w:r>
          </w:p>
        </w:tc>
        <w:tc>
          <w:tcPr>
            <w:tcW w:w="4131" w:type="dxa"/>
          </w:tcPr>
          <w:p w14:paraId="03B6A07C" w14:textId="77777777" w:rsidR="00DE64A6" w:rsidRDefault="00000000">
            <w:pPr>
              <w:rPr>
                <w:sz w:val="20"/>
                <w:szCs w:val="20"/>
              </w:rPr>
            </w:pPr>
            <w:r>
              <w:rPr>
                <w:sz w:val="20"/>
                <w:szCs w:val="20"/>
              </w:rPr>
              <w:t>Solidarity action the Social Office</w:t>
            </w:r>
          </w:p>
        </w:tc>
        <w:tc>
          <w:tcPr>
            <w:tcW w:w="1473" w:type="dxa"/>
          </w:tcPr>
          <w:p w14:paraId="10376335" w14:textId="77777777" w:rsidR="00DE64A6" w:rsidRDefault="00000000">
            <w:pPr>
              <w:rPr>
                <w:sz w:val="20"/>
                <w:szCs w:val="20"/>
              </w:rPr>
            </w:pPr>
            <w:r>
              <w:rPr>
                <w:sz w:val="20"/>
                <w:szCs w:val="20"/>
              </w:rPr>
              <w:t>Secretary administrative assistant</w:t>
            </w:r>
          </w:p>
        </w:tc>
        <w:tc>
          <w:tcPr>
            <w:tcW w:w="2079" w:type="dxa"/>
          </w:tcPr>
          <w:p w14:paraId="37E59789" w14:textId="77777777" w:rsidR="00DE64A6" w:rsidRDefault="00000000">
            <w:pPr>
              <w:rPr>
                <w:sz w:val="20"/>
                <w:szCs w:val="20"/>
              </w:rPr>
            </w:pPr>
            <w:r>
              <w:rPr>
                <w:sz w:val="20"/>
                <w:szCs w:val="20"/>
              </w:rPr>
              <w:t>More than 5</w:t>
            </w:r>
          </w:p>
        </w:tc>
        <w:tc>
          <w:tcPr>
            <w:tcW w:w="1663" w:type="dxa"/>
          </w:tcPr>
          <w:p w14:paraId="7DF32DD8" w14:textId="77777777" w:rsidR="00DE64A6" w:rsidRDefault="00000000">
            <w:pPr>
              <w:rPr>
                <w:sz w:val="20"/>
                <w:szCs w:val="20"/>
              </w:rPr>
            </w:pPr>
            <w:r>
              <w:rPr>
                <w:sz w:val="20"/>
                <w:szCs w:val="20"/>
              </w:rPr>
              <w:t>Higher Education Graduate</w:t>
            </w:r>
          </w:p>
        </w:tc>
      </w:tr>
      <w:tr w:rsidR="00DE64A6" w14:paraId="148F52A1" w14:textId="77777777">
        <w:trPr>
          <w:trHeight w:val="300"/>
          <w:jc w:val="center"/>
        </w:trPr>
        <w:tc>
          <w:tcPr>
            <w:tcW w:w="898" w:type="dxa"/>
          </w:tcPr>
          <w:p w14:paraId="35C2D2F9" w14:textId="77777777" w:rsidR="00DE64A6" w:rsidRDefault="00000000">
            <w:pPr>
              <w:jc w:val="center"/>
              <w:rPr>
                <w:b/>
                <w:sz w:val="20"/>
                <w:szCs w:val="20"/>
              </w:rPr>
            </w:pPr>
            <w:r>
              <w:rPr>
                <w:b/>
                <w:sz w:val="20"/>
                <w:szCs w:val="20"/>
              </w:rPr>
              <w:t>6</w:t>
            </w:r>
          </w:p>
        </w:tc>
        <w:tc>
          <w:tcPr>
            <w:tcW w:w="4131" w:type="dxa"/>
          </w:tcPr>
          <w:p w14:paraId="0E2472A7" w14:textId="77777777" w:rsidR="00DE64A6" w:rsidRDefault="00000000">
            <w:pPr>
              <w:rPr>
                <w:sz w:val="20"/>
                <w:szCs w:val="20"/>
              </w:rPr>
            </w:pPr>
            <w:r>
              <w:rPr>
                <w:sz w:val="20"/>
                <w:szCs w:val="20"/>
              </w:rPr>
              <w:t>Family Support Center</w:t>
            </w:r>
          </w:p>
        </w:tc>
        <w:tc>
          <w:tcPr>
            <w:tcW w:w="1473" w:type="dxa"/>
          </w:tcPr>
          <w:p w14:paraId="274F1C21" w14:textId="77777777" w:rsidR="00DE64A6" w:rsidRDefault="00000000">
            <w:pPr>
              <w:rPr>
                <w:sz w:val="20"/>
                <w:szCs w:val="20"/>
              </w:rPr>
            </w:pPr>
            <w:r>
              <w:rPr>
                <w:sz w:val="20"/>
                <w:szCs w:val="20"/>
              </w:rPr>
              <w:t>Social worker</w:t>
            </w:r>
          </w:p>
        </w:tc>
        <w:tc>
          <w:tcPr>
            <w:tcW w:w="2079" w:type="dxa"/>
          </w:tcPr>
          <w:p w14:paraId="20F6DEF4" w14:textId="77777777" w:rsidR="00DE64A6" w:rsidRDefault="00000000">
            <w:pPr>
              <w:rPr>
                <w:sz w:val="20"/>
                <w:szCs w:val="20"/>
              </w:rPr>
            </w:pPr>
            <w:r>
              <w:rPr>
                <w:sz w:val="20"/>
                <w:szCs w:val="20"/>
              </w:rPr>
              <w:t>More than 5</w:t>
            </w:r>
          </w:p>
        </w:tc>
        <w:tc>
          <w:tcPr>
            <w:tcW w:w="1663" w:type="dxa"/>
          </w:tcPr>
          <w:p w14:paraId="39D3FCA0" w14:textId="77777777" w:rsidR="00DE64A6" w:rsidRDefault="00000000">
            <w:pPr>
              <w:rPr>
                <w:sz w:val="20"/>
                <w:szCs w:val="20"/>
              </w:rPr>
            </w:pPr>
            <w:r>
              <w:rPr>
                <w:sz w:val="20"/>
                <w:szCs w:val="20"/>
              </w:rPr>
              <w:t>Higher Education Graduate</w:t>
            </w:r>
          </w:p>
        </w:tc>
      </w:tr>
      <w:tr w:rsidR="00DE64A6" w14:paraId="46B17BE0" w14:textId="77777777">
        <w:trPr>
          <w:trHeight w:val="300"/>
          <w:jc w:val="center"/>
        </w:trPr>
        <w:tc>
          <w:tcPr>
            <w:tcW w:w="898" w:type="dxa"/>
          </w:tcPr>
          <w:p w14:paraId="5961AF6C" w14:textId="77777777" w:rsidR="00DE64A6" w:rsidRDefault="00000000">
            <w:pPr>
              <w:jc w:val="center"/>
              <w:rPr>
                <w:b/>
                <w:sz w:val="20"/>
                <w:szCs w:val="20"/>
              </w:rPr>
            </w:pPr>
            <w:r>
              <w:rPr>
                <w:b/>
                <w:sz w:val="20"/>
                <w:szCs w:val="20"/>
              </w:rPr>
              <w:t>7</w:t>
            </w:r>
          </w:p>
        </w:tc>
        <w:tc>
          <w:tcPr>
            <w:tcW w:w="4131" w:type="dxa"/>
          </w:tcPr>
          <w:p w14:paraId="1393A046" w14:textId="77777777" w:rsidR="00DE64A6" w:rsidRDefault="00000000">
            <w:pPr>
              <w:rPr>
                <w:sz w:val="20"/>
                <w:szCs w:val="20"/>
              </w:rPr>
            </w:pPr>
            <w:r>
              <w:rPr>
                <w:sz w:val="20"/>
                <w:szCs w:val="20"/>
              </w:rPr>
              <w:t>organisation dedicated to fighting for the rights of the local LGBTIQ+</w:t>
            </w:r>
          </w:p>
        </w:tc>
        <w:tc>
          <w:tcPr>
            <w:tcW w:w="1473" w:type="dxa"/>
          </w:tcPr>
          <w:p w14:paraId="21784F56" w14:textId="77777777" w:rsidR="00DE64A6" w:rsidRDefault="00000000">
            <w:pPr>
              <w:rPr>
                <w:sz w:val="20"/>
                <w:szCs w:val="20"/>
              </w:rPr>
            </w:pPr>
            <w:r>
              <w:rPr>
                <w:sz w:val="20"/>
                <w:szCs w:val="20"/>
              </w:rPr>
              <w:t>Social worker</w:t>
            </w:r>
          </w:p>
        </w:tc>
        <w:tc>
          <w:tcPr>
            <w:tcW w:w="2079" w:type="dxa"/>
          </w:tcPr>
          <w:p w14:paraId="1F8848AC" w14:textId="77777777" w:rsidR="00DE64A6" w:rsidRDefault="00000000">
            <w:pPr>
              <w:rPr>
                <w:sz w:val="20"/>
                <w:szCs w:val="20"/>
              </w:rPr>
            </w:pPr>
            <w:r>
              <w:rPr>
                <w:sz w:val="20"/>
                <w:szCs w:val="20"/>
              </w:rPr>
              <w:t>Less than 5</w:t>
            </w:r>
          </w:p>
        </w:tc>
        <w:tc>
          <w:tcPr>
            <w:tcW w:w="1663" w:type="dxa"/>
          </w:tcPr>
          <w:p w14:paraId="4A58AB53" w14:textId="77777777" w:rsidR="00DE64A6" w:rsidRDefault="00000000">
            <w:pPr>
              <w:rPr>
                <w:sz w:val="20"/>
                <w:szCs w:val="20"/>
              </w:rPr>
            </w:pPr>
            <w:r>
              <w:rPr>
                <w:sz w:val="20"/>
                <w:szCs w:val="20"/>
              </w:rPr>
              <w:t>Higher Education Graduate</w:t>
            </w:r>
          </w:p>
        </w:tc>
      </w:tr>
      <w:tr w:rsidR="00DE64A6" w14:paraId="54D7E6FA" w14:textId="77777777">
        <w:trPr>
          <w:trHeight w:val="300"/>
          <w:jc w:val="center"/>
        </w:trPr>
        <w:tc>
          <w:tcPr>
            <w:tcW w:w="898" w:type="dxa"/>
          </w:tcPr>
          <w:p w14:paraId="21EA095B" w14:textId="77777777" w:rsidR="00DE64A6" w:rsidRDefault="00000000">
            <w:pPr>
              <w:jc w:val="center"/>
              <w:rPr>
                <w:b/>
                <w:sz w:val="20"/>
                <w:szCs w:val="20"/>
              </w:rPr>
            </w:pPr>
            <w:r>
              <w:rPr>
                <w:b/>
                <w:sz w:val="20"/>
                <w:szCs w:val="20"/>
              </w:rPr>
              <w:t>8</w:t>
            </w:r>
          </w:p>
        </w:tc>
        <w:tc>
          <w:tcPr>
            <w:tcW w:w="4131" w:type="dxa"/>
          </w:tcPr>
          <w:p w14:paraId="2A75BEC1" w14:textId="77777777" w:rsidR="00DE64A6" w:rsidRDefault="00000000">
            <w:pPr>
              <w:rPr>
                <w:sz w:val="20"/>
                <w:szCs w:val="20"/>
              </w:rPr>
            </w:pPr>
            <w:r>
              <w:rPr>
                <w:sz w:val="20"/>
                <w:szCs w:val="20"/>
              </w:rPr>
              <w:t>organisation dedicated to fighting for the rights of the local LGBTIQ+</w:t>
            </w:r>
          </w:p>
        </w:tc>
        <w:tc>
          <w:tcPr>
            <w:tcW w:w="1473" w:type="dxa"/>
          </w:tcPr>
          <w:p w14:paraId="0223ABAA" w14:textId="77777777" w:rsidR="00DE64A6" w:rsidRDefault="00000000">
            <w:pPr>
              <w:rPr>
                <w:sz w:val="20"/>
                <w:szCs w:val="20"/>
              </w:rPr>
            </w:pPr>
            <w:r>
              <w:rPr>
                <w:sz w:val="20"/>
                <w:szCs w:val="20"/>
              </w:rPr>
              <w:t>Social worker</w:t>
            </w:r>
          </w:p>
        </w:tc>
        <w:tc>
          <w:tcPr>
            <w:tcW w:w="2079" w:type="dxa"/>
          </w:tcPr>
          <w:p w14:paraId="2D7D390E" w14:textId="77777777" w:rsidR="00DE64A6" w:rsidRDefault="00000000">
            <w:pPr>
              <w:rPr>
                <w:sz w:val="20"/>
                <w:szCs w:val="20"/>
              </w:rPr>
            </w:pPr>
            <w:r>
              <w:rPr>
                <w:sz w:val="20"/>
                <w:szCs w:val="20"/>
              </w:rPr>
              <w:t>Less than 5</w:t>
            </w:r>
          </w:p>
        </w:tc>
        <w:tc>
          <w:tcPr>
            <w:tcW w:w="1663" w:type="dxa"/>
          </w:tcPr>
          <w:p w14:paraId="38028C94" w14:textId="77777777" w:rsidR="00DE64A6" w:rsidRDefault="00000000">
            <w:pPr>
              <w:rPr>
                <w:sz w:val="20"/>
                <w:szCs w:val="20"/>
              </w:rPr>
            </w:pPr>
            <w:r>
              <w:rPr>
                <w:sz w:val="20"/>
                <w:szCs w:val="20"/>
              </w:rPr>
              <w:t>Higher Education Graduate</w:t>
            </w:r>
          </w:p>
        </w:tc>
      </w:tr>
      <w:tr w:rsidR="00DE64A6" w14:paraId="4A9B99BD" w14:textId="77777777">
        <w:trPr>
          <w:trHeight w:val="300"/>
          <w:jc w:val="center"/>
        </w:trPr>
        <w:tc>
          <w:tcPr>
            <w:tcW w:w="898" w:type="dxa"/>
          </w:tcPr>
          <w:p w14:paraId="79C4DD28" w14:textId="77777777" w:rsidR="00DE64A6" w:rsidRDefault="00000000">
            <w:pPr>
              <w:jc w:val="center"/>
              <w:rPr>
                <w:b/>
                <w:sz w:val="20"/>
                <w:szCs w:val="20"/>
              </w:rPr>
            </w:pPr>
            <w:r>
              <w:rPr>
                <w:b/>
                <w:sz w:val="20"/>
                <w:szCs w:val="20"/>
              </w:rPr>
              <w:t>9</w:t>
            </w:r>
          </w:p>
        </w:tc>
        <w:tc>
          <w:tcPr>
            <w:tcW w:w="4131" w:type="dxa"/>
          </w:tcPr>
          <w:p w14:paraId="10654DA8" w14:textId="77777777" w:rsidR="00DE64A6" w:rsidRDefault="00000000">
            <w:pPr>
              <w:rPr>
                <w:sz w:val="20"/>
                <w:szCs w:val="20"/>
              </w:rPr>
            </w:pPr>
            <w:r>
              <w:rPr>
                <w:sz w:val="20"/>
                <w:szCs w:val="20"/>
              </w:rPr>
              <w:t>Luxembourg Pride</w:t>
            </w:r>
          </w:p>
        </w:tc>
        <w:tc>
          <w:tcPr>
            <w:tcW w:w="1473" w:type="dxa"/>
          </w:tcPr>
          <w:p w14:paraId="1960DEE8" w14:textId="77777777" w:rsidR="00DE64A6" w:rsidRDefault="00000000">
            <w:pPr>
              <w:rPr>
                <w:sz w:val="20"/>
                <w:szCs w:val="20"/>
              </w:rPr>
            </w:pPr>
            <w:r>
              <w:rPr>
                <w:sz w:val="20"/>
                <w:szCs w:val="20"/>
              </w:rPr>
              <w:t>Staff</w:t>
            </w:r>
          </w:p>
        </w:tc>
        <w:tc>
          <w:tcPr>
            <w:tcW w:w="2079" w:type="dxa"/>
          </w:tcPr>
          <w:p w14:paraId="34541897" w14:textId="77777777" w:rsidR="00DE64A6" w:rsidRDefault="00000000">
            <w:pPr>
              <w:rPr>
                <w:sz w:val="20"/>
                <w:szCs w:val="20"/>
              </w:rPr>
            </w:pPr>
            <w:r>
              <w:rPr>
                <w:sz w:val="20"/>
                <w:szCs w:val="20"/>
              </w:rPr>
              <w:t>Less than 5</w:t>
            </w:r>
          </w:p>
        </w:tc>
        <w:tc>
          <w:tcPr>
            <w:tcW w:w="1663" w:type="dxa"/>
          </w:tcPr>
          <w:p w14:paraId="19401613" w14:textId="77777777" w:rsidR="00DE64A6" w:rsidRDefault="00000000">
            <w:pPr>
              <w:rPr>
                <w:sz w:val="20"/>
                <w:szCs w:val="20"/>
              </w:rPr>
            </w:pPr>
            <w:r>
              <w:rPr>
                <w:sz w:val="20"/>
                <w:szCs w:val="20"/>
              </w:rPr>
              <w:t>Higher Education Graduate</w:t>
            </w:r>
          </w:p>
        </w:tc>
      </w:tr>
      <w:tr w:rsidR="00DE64A6" w14:paraId="15753B63" w14:textId="77777777">
        <w:trPr>
          <w:trHeight w:val="300"/>
          <w:jc w:val="center"/>
        </w:trPr>
        <w:tc>
          <w:tcPr>
            <w:tcW w:w="898" w:type="dxa"/>
          </w:tcPr>
          <w:p w14:paraId="4E65C266" w14:textId="77777777" w:rsidR="00DE64A6" w:rsidRDefault="00000000">
            <w:pPr>
              <w:jc w:val="center"/>
              <w:rPr>
                <w:b/>
                <w:sz w:val="20"/>
                <w:szCs w:val="20"/>
              </w:rPr>
            </w:pPr>
            <w:r>
              <w:rPr>
                <w:b/>
                <w:sz w:val="20"/>
                <w:szCs w:val="20"/>
              </w:rPr>
              <w:t>10</w:t>
            </w:r>
          </w:p>
        </w:tc>
        <w:tc>
          <w:tcPr>
            <w:tcW w:w="4131" w:type="dxa"/>
          </w:tcPr>
          <w:p w14:paraId="30DF9B9F" w14:textId="77777777" w:rsidR="00DE64A6" w:rsidRDefault="00000000">
            <w:pPr>
              <w:rPr>
                <w:sz w:val="20"/>
                <w:szCs w:val="20"/>
              </w:rPr>
            </w:pPr>
            <w:r>
              <w:rPr>
                <w:sz w:val="20"/>
                <w:szCs w:val="20"/>
              </w:rPr>
              <w:t>Civil Society Organization</w:t>
            </w:r>
          </w:p>
        </w:tc>
        <w:tc>
          <w:tcPr>
            <w:tcW w:w="1473" w:type="dxa"/>
          </w:tcPr>
          <w:p w14:paraId="0D61F111" w14:textId="77777777" w:rsidR="00DE64A6" w:rsidRDefault="00000000">
            <w:pPr>
              <w:rPr>
                <w:sz w:val="20"/>
                <w:szCs w:val="20"/>
              </w:rPr>
            </w:pPr>
            <w:r>
              <w:rPr>
                <w:sz w:val="20"/>
                <w:szCs w:val="20"/>
              </w:rPr>
              <w:t>Consultation staff</w:t>
            </w:r>
          </w:p>
        </w:tc>
        <w:tc>
          <w:tcPr>
            <w:tcW w:w="2079" w:type="dxa"/>
          </w:tcPr>
          <w:p w14:paraId="0169C58A" w14:textId="77777777" w:rsidR="00DE64A6" w:rsidRDefault="00000000">
            <w:pPr>
              <w:rPr>
                <w:sz w:val="20"/>
                <w:szCs w:val="20"/>
              </w:rPr>
            </w:pPr>
            <w:r>
              <w:rPr>
                <w:sz w:val="20"/>
                <w:szCs w:val="20"/>
              </w:rPr>
              <w:t>Less than 5</w:t>
            </w:r>
          </w:p>
        </w:tc>
        <w:tc>
          <w:tcPr>
            <w:tcW w:w="1663" w:type="dxa"/>
          </w:tcPr>
          <w:p w14:paraId="51CBE0A0" w14:textId="77777777" w:rsidR="00DE64A6" w:rsidRDefault="00000000">
            <w:pPr>
              <w:rPr>
                <w:sz w:val="20"/>
                <w:szCs w:val="20"/>
              </w:rPr>
            </w:pPr>
            <w:r>
              <w:rPr>
                <w:sz w:val="20"/>
                <w:szCs w:val="20"/>
              </w:rPr>
              <w:t>Higher Education Graduate</w:t>
            </w:r>
          </w:p>
        </w:tc>
      </w:tr>
    </w:tbl>
    <w:p w14:paraId="4D73FB10" w14:textId="77777777" w:rsidR="00DE64A6" w:rsidRDefault="00DE64A6">
      <w:pPr>
        <w:spacing w:after="0" w:line="360" w:lineRule="auto"/>
        <w:jc w:val="both"/>
        <w:rPr>
          <w:sz w:val="24"/>
          <w:szCs w:val="24"/>
        </w:rPr>
      </w:pPr>
    </w:p>
    <w:p w14:paraId="75737431" w14:textId="77777777" w:rsidR="00DE64A6" w:rsidRDefault="00000000">
      <w:pPr>
        <w:spacing w:after="0" w:line="360" w:lineRule="auto"/>
        <w:jc w:val="both"/>
        <w:rPr>
          <w:sz w:val="24"/>
          <w:szCs w:val="24"/>
        </w:rPr>
      </w:pPr>
      <w:r>
        <w:rPr>
          <w:sz w:val="24"/>
          <w:szCs w:val="24"/>
        </w:rPr>
        <w:t xml:space="preserve">During both interviews with service providers and service receivers, Google </w:t>
      </w:r>
      <w:proofErr w:type="spellStart"/>
      <w:r>
        <w:rPr>
          <w:sz w:val="24"/>
          <w:szCs w:val="24"/>
        </w:rPr>
        <w:t>Jamboard</w:t>
      </w:r>
      <w:proofErr w:type="spellEnd"/>
      <w:r>
        <w:rPr>
          <w:sz w:val="24"/>
          <w:szCs w:val="24"/>
        </w:rPr>
        <w:t xml:space="preserve"> was used to give the opportunity to all participants to take notes and share them with the following interviewees:</w:t>
      </w:r>
    </w:p>
    <w:p w14:paraId="693D84C4" w14:textId="77777777" w:rsidR="00DE64A6" w:rsidRDefault="00000000">
      <w:pPr>
        <w:spacing w:after="0" w:line="360" w:lineRule="auto"/>
        <w:jc w:val="both"/>
        <w:rPr>
          <w:sz w:val="24"/>
          <w:szCs w:val="24"/>
        </w:rPr>
      </w:pPr>
      <w:r>
        <w:rPr>
          <w:noProof/>
        </w:rPr>
        <w:drawing>
          <wp:inline distT="0" distB="0" distL="0" distR="0" wp14:anchorId="5D6E7F79" wp14:editId="731D2DA1">
            <wp:extent cx="5912251" cy="3353470"/>
            <wp:effectExtent l="0" t="0" r="0" b="0"/>
            <wp:docPr id="9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5912251" cy="3353470"/>
                    </a:xfrm>
                    <a:prstGeom prst="rect">
                      <a:avLst/>
                    </a:prstGeom>
                    <a:ln/>
                  </pic:spPr>
                </pic:pic>
              </a:graphicData>
            </a:graphic>
          </wp:inline>
        </w:drawing>
      </w:r>
    </w:p>
    <w:p w14:paraId="781B54E7" w14:textId="77777777" w:rsidR="00DE64A6" w:rsidRDefault="00DE64A6">
      <w:pPr>
        <w:spacing w:after="0" w:line="360" w:lineRule="auto"/>
        <w:jc w:val="both"/>
        <w:rPr>
          <w:sz w:val="24"/>
          <w:szCs w:val="24"/>
        </w:rPr>
      </w:pPr>
    </w:p>
    <w:p w14:paraId="4B950BDE" w14:textId="77777777" w:rsidR="00DE64A6" w:rsidRDefault="00000000">
      <w:pPr>
        <w:spacing w:after="0" w:line="360" w:lineRule="auto"/>
        <w:jc w:val="both"/>
        <w:rPr>
          <w:sz w:val="24"/>
          <w:szCs w:val="24"/>
        </w:rPr>
      </w:pPr>
      <w:r>
        <w:rPr>
          <w:noProof/>
        </w:rPr>
        <w:lastRenderedPageBreak/>
        <w:drawing>
          <wp:inline distT="0" distB="0" distL="0" distR="0" wp14:anchorId="416C702D" wp14:editId="78183D65">
            <wp:extent cx="6188710" cy="3520440"/>
            <wp:effectExtent l="0" t="0" r="0" b="0"/>
            <wp:docPr id="9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6188710" cy="3520440"/>
                    </a:xfrm>
                    <a:prstGeom prst="rect">
                      <a:avLst/>
                    </a:prstGeom>
                    <a:ln/>
                  </pic:spPr>
                </pic:pic>
              </a:graphicData>
            </a:graphic>
          </wp:inline>
        </w:drawing>
      </w:r>
    </w:p>
    <w:p w14:paraId="2FF5177F" w14:textId="77777777" w:rsidR="00DE64A6" w:rsidRDefault="00000000">
      <w:pPr>
        <w:spacing w:after="0" w:line="360" w:lineRule="auto"/>
        <w:jc w:val="both"/>
        <w:rPr>
          <w:sz w:val="24"/>
          <w:szCs w:val="24"/>
        </w:rPr>
      </w:pPr>
      <w:r>
        <w:rPr>
          <w:sz w:val="24"/>
          <w:szCs w:val="24"/>
        </w:rPr>
        <w:t xml:space="preserve">An issue that was raised was health interventions that although have a lot of promise, there is an inefficiency </w:t>
      </w:r>
      <w:r>
        <w:rPr>
          <w:b/>
          <w:sz w:val="24"/>
          <w:szCs w:val="24"/>
        </w:rPr>
        <w:t>of mental health therapies geared to domestic abuse victims</w:t>
      </w:r>
      <w:r>
        <w:rPr>
          <w:sz w:val="24"/>
          <w:szCs w:val="24"/>
        </w:rPr>
        <w:t xml:space="preserve"> in the COVID-19 environment. Many mental health services and domestic violence support mechanisms have had to </w:t>
      </w:r>
      <w:r>
        <w:rPr>
          <w:b/>
          <w:sz w:val="24"/>
          <w:szCs w:val="24"/>
        </w:rPr>
        <w:t>postpone or cancel their services</w:t>
      </w:r>
      <w:r>
        <w:rPr>
          <w:sz w:val="24"/>
          <w:szCs w:val="24"/>
        </w:rPr>
        <w:t xml:space="preserve">, at least face-to-face, as a result of the lockdown and social distancing measures, exacerbating the lack of mental health solutions that many domestic abuse victims suffer. Stay-at-home orders, isolation, heightened stress, and exposure to family members all raise the likelihood of violence, especially among the elderly and children. </w:t>
      </w:r>
    </w:p>
    <w:p w14:paraId="6893206D" w14:textId="77777777" w:rsidR="00DE64A6" w:rsidRDefault="00DE64A6">
      <w:pPr>
        <w:spacing w:after="0" w:line="360" w:lineRule="auto"/>
        <w:jc w:val="both"/>
        <w:rPr>
          <w:sz w:val="24"/>
          <w:szCs w:val="24"/>
        </w:rPr>
      </w:pPr>
    </w:p>
    <w:p w14:paraId="6F4FE5C3" w14:textId="77777777" w:rsidR="00DE64A6" w:rsidRDefault="00000000">
      <w:pPr>
        <w:spacing w:after="0" w:line="360" w:lineRule="auto"/>
        <w:jc w:val="both"/>
        <w:rPr>
          <w:sz w:val="24"/>
          <w:szCs w:val="24"/>
        </w:rPr>
      </w:pPr>
      <w:r>
        <w:rPr>
          <w:sz w:val="24"/>
          <w:szCs w:val="24"/>
        </w:rPr>
        <w:t xml:space="preserve">Additionally, during the interviews, a concern was raised about claims of </w:t>
      </w:r>
      <w:r>
        <w:rPr>
          <w:b/>
          <w:sz w:val="24"/>
          <w:szCs w:val="24"/>
        </w:rPr>
        <w:t xml:space="preserve">selective penalties </w:t>
      </w:r>
      <w:r>
        <w:rPr>
          <w:sz w:val="24"/>
          <w:szCs w:val="24"/>
        </w:rPr>
        <w:t xml:space="preserve">on the basis of anti-COVID19 measures, with profiling of LGBTQ people being the victims, and a general increase in maltreatment by the authorities. During all interviews with professionals in social services, the issue of </w:t>
      </w:r>
      <w:r>
        <w:rPr>
          <w:b/>
          <w:sz w:val="24"/>
          <w:szCs w:val="24"/>
        </w:rPr>
        <w:t>negative home environments</w:t>
      </w:r>
      <w:r>
        <w:rPr>
          <w:sz w:val="24"/>
          <w:szCs w:val="24"/>
        </w:rPr>
        <w:t xml:space="preserve"> was raised but mostly for women and transgender minors suffering and going through trauma physically or emotionally. This involves people from all races and genders or ethnicities and has been reported to be both less and more of a problem in families of higher social status or wealth. Persons of higher education, higher family income are more likely to choose who they live with. It makes perfect sense that domestic instances have increased because </w:t>
      </w:r>
      <w:r>
        <w:rPr>
          <w:sz w:val="24"/>
          <w:szCs w:val="24"/>
        </w:rPr>
        <w:lastRenderedPageBreak/>
        <w:t xml:space="preserve">of often lockdowns, employment insecurities, or psychological insecurities in general, where the victims are exposed to the others more than before. For example, this increase in confinement has been reported to lead to increased exposure to the people of the family who are less accepting (or even abusive), and decreased financial stability; which then led to exacerbated domestic problems. The most commonly found disorders were depression and anxiety.  </w:t>
      </w:r>
    </w:p>
    <w:p w14:paraId="672E66D1" w14:textId="77777777" w:rsidR="00DE64A6" w:rsidRDefault="00DE64A6">
      <w:pPr>
        <w:spacing w:after="0" w:line="360" w:lineRule="auto"/>
        <w:jc w:val="both"/>
        <w:rPr>
          <w:sz w:val="24"/>
          <w:szCs w:val="24"/>
        </w:rPr>
      </w:pPr>
    </w:p>
    <w:p w14:paraId="7A2B5F3A" w14:textId="77777777" w:rsidR="00DE64A6" w:rsidRDefault="00000000">
      <w:pPr>
        <w:spacing w:after="0" w:line="360" w:lineRule="auto"/>
        <w:jc w:val="both"/>
        <w:rPr>
          <w:sz w:val="24"/>
          <w:szCs w:val="24"/>
        </w:rPr>
      </w:pPr>
      <w:r>
        <w:rPr>
          <w:sz w:val="24"/>
          <w:szCs w:val="24"/>
        </w:rPr>
        <w:t xml:space="preserve">During the interviews, we gather some useful ideas of interventions that could provide timely and practical solutions to domestic violence victims amid the epidemic. </w:t>
      </w:r>
      <w:r>
        <w:rPr>
          <w:b/>
          <w:sz w:val="24"/>
          <w:szCs w:val="24"/>
        </w:rPr>
        <w:t>These may be as follows: finding a place to sleep, challenges in education, assistance for mental health using digital technologies and online services.</w:t>
      </w:r>
      <w:r>
        <w:rPr>
          <w:sz w:val="24"/>
          <w:szCs w:val="24"/>
        </w:rPr>
        <w:t xml:space="preserve"> An example of a tactic provided in the interviews was a </w:t>
      </w:r>
      <w:r>
        <w:rPr>
          <w:b/>
          <w:sz w:val="24"/>
          <w:szCs w:val="24"/>
        </w:rPr>
        <w:t>coded messaging system for abused individuals</w:t>
      </w:r>
      <w:r>
        <w:rPr>
          <w:sz w:val="24"/>
          <w:szCs w:val="24"/>
        </w:rPr>
        <w:t xml:space="preserve"> that will allow them to seek help. Another issue that was raised where the social disparities of LGBTQI people, and the psychological abuse against them. It was mentioned that the pandemic has had a severe impact on LGBTQI people due to </w:t>
      </w:r>
      <w:r>
        <w:rPr>
          <w:b/>
          <w:sz w:val="24"/>
          <w:szCs w:val="24"/>
        </w:rPr>
        <w:t>socioeconomic instability, inability to escape negative home environments, and augmentation of anxiety</w:t>
      </w:r>
      <w:r>
        <w:rPr>
          <w:sz w:val="24"/>
          <w:szCs w:val="24"/>
        </w:rPr>
        <w:t xml:space="preserve"> and other pre-existing disorders relating to mental and emotional well-being. The perception of poor mental health and increased needs for psychological aid have been observed by all participating services providers.</w:t>
      </w:r>
    </w:p>
    <w:p w14:paraId="6CF12536" w14:textId="77777777" w:rsidR="00DE64A6" w:rsidRDefault="00DE64A6">
      <w:pPr>
        <w:spacing w:after="0" w:line="360" w:lineRule="auto"/>
        <w:jc w:val="both"/>
        <w:rPr>
          <w:sz w:val="24"/>
          <w:szCs w:val="24"/>
        </w:rPr>
      </w:pPr>
    </w:p>
    <w:p w14:paraId="7A2D6D3E" w14:textId="77777777" w:rsidR="00DE64A6" w:rsidRDefault="00000000">
      <w:pPr>
        <w:spacing w:after="0" w:line="360" w:lineRule="auto"/>
        <w:jc w:val="both"/>
        <w:rPr>
          <w:sz w:val="24"/>
          <w:szCs w:val="24"/>
        </w:rPr>
      </w:pPr>
      <w:r>
        <w:rPr>
          <w:sz w:val="24"/>
          <w:szCs w:val="24"/>
        </w:rPr>
        <w:t xml:space="preserve">It is very often that in local contexts LGBTQI people rely on the informal sector for income in numerous situations, especially in the work supply. LGBT people are </w:t>
      </w:r>
      <w:r>
        <w:rPr>
          <w:b/>
          <w:sz w:val="24"/>
          <w:szCs w:val="24"/>
        </w:rPr>
        <w:t>more likely to work in industries that have been severely affected</w:t>
      </w:r>
      <w:r>
        <w:rPr>
          <w:sz w:val="24"/>
          <w:szCs w:val="24"/>
        </w:rPr>
        <w:t xml:space="preserve"> by the virus and the measures against it, such as food service, retail, hair stylists and fashion, and sex work, rather than people who are legitimately employed or employed in higher ranking occupations. </w:t>
      </w:r>
    </w:p>
    <w:p w14:paraId="3BC4E1A1" w14:textId="77777777" w:rsidR="00DE64A6" w:rsidRDefault="00DE64A6">
      <w:pPr>
        <w:spacing w:after="0" w:line="360" w:lineRule="auto"/>
        <w:jc w:val="both"/>
        <w:rPr>
          <w:sz w:val="24"/>
          <w:szCs w:val="24"/>
        </w:rPr>
      </w:pPr>
    </w:p>
    <w:p w14:paraId="0B10ABF1" w14:textId="77777777" w:rsidR="00DE64A6" w:rsidRDefault="00000000">
      <w:pPr>
        <w:spacing w:after="0" w:line="360" w:lineRule="auto"/>
        <w:jc w:val="both"/>
        <w:rPr>
          <w:sz w:val="24"/>
          <w:szCs w:val="24"/>
        </w:rPr>
      </w:pPr>
      <w:r>
        <w:rPr>
          <w:sz w:val="24"/>
          <w:szCs w:val="24"/>
        </w:rPr>
        <w:t xml:space="preserve">Another issue that was brought up was the issue of LGBTQI homeless people while it is not one of the biggest problems in Luxembourg. LGBTQI people who are already homeless are in a particularly dangerous situation because their prospects of getting even short-term employment and temporary accommodation have noticeably dropped. Although it was stated that this may not be the case with Luxembourg, it was discussed that LGBTQI people who are homeless had to rely on temporary social accommodation and </w:t>
      </w:r>
      <w:r>
        <w:rPr>
          <w:b/>
          <w:sz w:val="24"/>
          <w:szCs w:val="24"/>
        </w:rPr>
        <w:t>shelter systems that may be unsafe</w:t>
      </w:r>
      <w:r>
        <w:rPr>
          <w:sz w:val="24"/>
          <w:szCs w:val="24"/>
        </w:rPr>
        <w:t xml:space="preserve"> for marginalized people. In some cases, </w:t>
      </w:r>
      <w:r>
        <w:rPr>
          <w:sz w:val="24"/>
          <w:szCs w:val="24"/>
        </w:rPr>
        <w:lastRenderedPageBreak/>
        <w:t xml:space="preserve">they must also choose between living in overcrowding temporary housing (which is hazardous) or returning to family and communities that are hostile. </w:t>
      </w:r>
    </w:p>
    <w:p w14:paraId="19A0F6D9" w14:textId="77777777" w:rsidR="00DE64A6" w:rsidRDefault="00DE64A6">
      <w:pPr>
        <w:spacing w:after="0" w:line="360" w:lineRule="auto"/>
        <w:jc w:val="both"/>
        <w:rPr>
          <w:sz w:val="24"/>
          <w:szCs w:val="24"/>
        </w:rPr>
      </w:pPr>
    </w:p>
    <w:p w14:paraId="4F2AA272" w14:textId="77777777" w:rsidR="00DE64A6" w:rsidRDefault="00000000">
      <w:pPr>
        <w:spacing w:after="0" w:line="360" w:lineRule="auto"/>
        <w:jc w:val="both"/>
        <w:rPr>
          <w:sz w:val="24"/>
          <w:szCs w:val="24"/>
        </w:rPr>
      </w:pPr>
      <w:r>
        <w:rPr>
          <w:sz w:val="24"/>
          <w:szCs w:val="24"/>
        </w:rPr>
        <w:t xml:space="preserve">What was also brought up in one of the interviews was the access to medical care and services. People living with AIDS, including LGBTQI people, struggle to get their medication because in many cases such as public hospitals, these also function as COVID-19 hospitals, putting </w:t>
      </w:r>
      <w:r>
        <w:rPr>
          <w:b/>
          <w:sz w:val="24"/>
          <w:szCs w:val="24"/>
        </w:rPr>
        <w:t>immune-compromised people at risk of being admitted</w:t>
      </w:r>
      <w:r>
        <w:rPr>
          <w:sz w:val="24"/>
          <w:szCs w:val="24"/>
        </w:rPr>
        <w:t>, or deprioritizing the services as non-emergency.</w:t>
      </w:r>
    </w:p>
    <w:p w14:paraId="31A6D16C" w14:textId="77777777" w:rsidR="00DE64A6" w:rsidRDefault="00DE64A6">
      <w:pPr>
        <w:spacing w:after="0" w:line="360" w:lineRule="auto"/>
        <w:jc w:val="both"/>
        <w:rPr>
          <w:sz w:val="24"/>
          <w:szCs w:val="24"/>
        </w:rPr>
      </w:pPr>
    </w:p>
    <w:p w14:paraId="67BCE630" w14:textId="77777777" w:rsidR="00DE64A6" w:rsidRDefault="00000000">
      <w:pPr>
        <w:spacing w:after="0" w:line="360" w:lineRule="auto"/>
        <w:jc w:val="both"/>
        <w:rPr>
          <w:sz w:val="24"/>
          <w:szCs w:val="24"/>
        </w:rPr>
      </w:pPr>
      <w:r>
        <w:rPr>
          <w:sz w:val="24"/>
          <w:szCs w:val="24"/>
        </w:rPr>
        <w:t xml:space="preserve">There is a common agreement between all participants that the pandemic's effects are worsened in the case of trans people, particularly in terms </w:t>
      </w:r>
      <w:r>
        <w:rPr>
          <w:b/>
          <w:sz w:val="24"/>
          <w:szCs w:val="24"/>
        </w:rPr>
        <w:t>of legal gender recognition</w:t>
      </w:r>
      <w:r>
        <w:rPr>
          <w:sz w:val="24"/>
          <w:szCs w:val="24"/>
        </w:rPr>
        <w:t xml:space="preserve"> (lack of official documents that match one's identity and gender expression). Legal gender recognition processes were generally postponed and delayed due to being classified as non-emergency during times when judicial services were limited to those deemed essential during the pandemic.</w:t>
      </w:r>
    </w:p>
    <w:p w14:paraId="54D7A3FE" w14:textId="77777777" w:rsidR="00DE64A6" w:rsidRDefault="00DE64A6">
      <w:pPr>
        <w:spacing w:after="0" w:line="360" w:lineRule="auto"/>
        <w:jc w:val="both"/>
        <w:rPr>
          <w:sz w:val="24"/>
          <w:szCs w:val="24"/>
        </w:rPr>
      </w:pPr>
    </w:p>
    <w:p w14:paraId="6FBB17F8" w14:textId="77777777" w:rsidR="00DE64A6" w:rsidRDefault="00000000">
      <w:pPr>
        <w:pStyle w:val="Kop4"/>
      </w:pPr>
      <w:bookmarkStart w:id="4" w:name="_heading=h.qsh70q" w:colFirst="0" w:colLast="0"/>
      <w:bookmarkEnd w:id="4"/>
      <w:r>
        <w:t>Receivers</w:t>
      </w:r>
    </w:p>
    <w:p w14:paraId="779376FB" w14:textId="77777777" w:rsidR="00DE64A6" w:rsidRDefault="00000000">
      <w:pPr>
        <w:spacing w:after="0" w:line="360" w:lineRule="auto"/>
        <w:jc w:val="both"/>
        <w:rPr>
          <w:b/>
          <w:sz w:val="24"/>
          <w:szCs w:val="24"/>
        </w:rPr>
      </w:pPr>
      <w:r>
        <w:rPr>
          <w:b/>
          <w:sz w:val="24"/>
          <w:szCs w:val="24"/>
        </w:rPr>
        <w:t xml:space="preserve">2. Summary analysis of focus groups (and/or interviews) with LGBTQI people (support services receivers) </w:t>
      </w:r>
      <w:r>
        <w:rPr>
          <w:sz w:val="24"/>
          <w:szCs w:val="24"/>
        </w:rPr>
        <w:t>(</w:t>
      </w:r>
      <w:r>
        <w:rPr>
          <w:color w:val="000000"/>
          <w:sz w:val="24"/>
          <w:szCs w:val="24"/>
        </w:rPr>
        <w:t xml:space="preserve">approx. </w:t>
      </w:r>
      <w:r>
        <w:rPr>
          <w:sz w:val="24"/>
          <w:szCs w:val="24"/>
        </w:rPr>
        <w:t>1000 words)</w:t>
      </w:r>
    </w:p>
    <w:p w14:paraId="6F487EFB" w14:textId="77777777" w:rsidR="00DE64A6" w:rsidRDefault="00000000">
      <w:pPr>
        <w:spacing w:after="0" w:line="360" w:lineRule="auto"/>
        <w:jc w:val="both"/>
        <w:rPr>
          <w:sz w:val="24"/>
          <w:szCs w:val="24"/>
        </w:rPr>
      </w:pPr>
      <w:r>
        <w:rPr>
          <w:sz w:val="24"/>
          <w:szCs w:val="24"/>
        </w:rPr>
        <w:t xml:space="preserve">Profile of participants (or interviewees), the status of LGBTQI people during the pandemic, good practices, initiatives and available options, needs’ assessment </w:t>
      </w:r>
    </w:p>
    <w:tbl>
      <w:tblPr>
        <w:tblStyle w:val="aa"/>
        <w:tblW w:w="8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1126"/>
        <w:gridCol w:w="2331"/>
        <w:gridCol w:w="3787"/>
      </w:tblGrid>
      <w:tr w:rsidR="00DE64A6" w14:paraId="4F81A69A" w14:textId="77777777">
        <w:trPr>
          <w:trHeight w:val="1602"/>
          <w:jc w:val="center"/>
        </w:trPr>
        <w:tc>
          <w:tcPr>
            <w:tcW w:w="900" w:type="dxa"/>
          </w:tcPr>
          <w:p w14:paraId="4B3C5081" w14:textId="77777777" w:rsidR="00DE64A6" w:rsidRDefault="00000000">
            <w:pPr>
              <w:rPr>
                <w:b/>
                <w:sz w:val="20"/>
                <w:szCs w:val="20"/>
              </w:rPr>
            </w:pPr>
            <w:r>
              <w:rPr>
                <w:b/>
                <w:sz w:val="20"/>
                <w:szCs w:val="20"/>
              </w:rPr>
              <w:t xml:space="preserve">Participant </w:t>
            </w:r>
            <w:r>
              <w:rPr>
                <w:sz w:val="20"/>
                <w:szCs w:val="20"/>
              </w:rPr>
              <w:t>(or interviewee)</w:t>
            </w:r>
          </w:p>
        </w:tc>
        <w:tc>
          <w:tcPr>
            <w:tcW w:w="1126" w:type="dxa"/>
          </w:tcPr>
          <w:p w14:paraId="63E93F4D" w14:textId="77777777" w:rsidR="00DE64A6" w:rsidRDefault="00000000">
            <w:pPr>
              <w:jc w:val="center"/>
              <w:rPr>
                <w:b/>
                <w:sz w:val="20"/>
                <w:szCs w:val="20"/>
              </w:rPr>
            </w:pPr>
            <w:r>
              <w:rPr>
                <w:b/>
                <w:sz w:val="20"/>
                <w:szCs w:val="20"/>
              </w:rPr>
              <w:t>Age</w:t>
            </w:r>
          </w:p>
        </w:tc>
        <w:tc>
          <w:tcPr>
            <w:tcW w:w="2331" w:type="dxa"/>
          </w:tcPr>
          <w:p w14:paraId="062E5008" w14:textId="77777777" w:rsidR="00DE64A6" w:rsidRDefault="00000000">
            <w:pPr>
              <w:jc w:val="center"/>
              <w:rPr>
                <w:b/>
                <w:sz w:val="20"/>
                <w:szCs w:val="20"/>
              </w:rPr>
            </w:pPr>
            <w:r>
              <w:rPr>
                <w:b/>
                <w:sz w:val="20"/>
                <w:szCs w:val="20"/>
              </w:rPr>
              <w:t xml:space="preserve">Educational background </w:t>
            </w:r>
          </w:p>
        </w:tc>
        <w:tc>
          <w:tcPr>
            <w:tcW w:w="3787" w:type="dxa"/>
          </w:tcPr>
          <w:p w14:paraId="39C0FB54" w14:textId="77777777" w:rsidR="00DE64A6" w:rsidRDefault="00000000">
            <w:pPr>
              <w:jc w:val="center"/>
              <w:rPr>
                <w:b/>
                <w:sz w:val="20"/>
                <w:szCs w:val="20"/>
              </w:rPr>
            </w:pPr>
            <w:r>
              <w:rPr>
                <w:b/>
                <w:sz w:val="20"/>
                <w:szCs w:val="20"/>
              </w:rPr>
              <w:t xml:space="preserve">Info regarding residence and family/marital status </w:t>
            </w:r>
          </w:p>
          <w:p w14:paraId="3B7696BD" w14:textId="77777777" w:rsidR="00DE64A6" w:rsidRDefault="00000000">
            <w:pPr>
              <w:jc w:val="center"/>
              <w:rPr>
                <w:sz w:val="20"/>
                <w:szCs w:val="20"/>
              </w:rPr>
            </w:pPr>
            <w:r>
              <w:rPr>
                <w:b/>
                <w:sz w:val="20"/>
                <w:szCs w:val="20"/>
              </w:rPr>
              <w:t xml:space="preserve"> </w:t>
            </w:r>
            <w:r>
              <w:rPr>
                <w:sz w:val="20"/>
                <w:szCs w:val="20"/>
              </w:rPr>
              <w:t>(e.g., married / living with a partner, living with parents, living alone, living with a roommate etc.)</w:t>
            </w:r>
          </w:p>
        </w:tc>
      </w:tr>
      <w:tr w:rsidR="00DE64A6" w14:paraId="5FD7365E" w14:textId="77777777">
        <w:trPr>
          <w:trHeight w:val="316"/>
          <w:jc w:val="center"/>
        </w:trPr>
        <w:tc>
          <w:tcPr>
            <w:tcW w:w="900" w:type="dxa"/>
          </w:tcPr>
          <w:p w14:paraId="3BE148E6" w14:textId="77777777" w:rsidR="00DE64A6" w:rsidRDefault="00000000">
            <w:pPr>
              <w:rPr>
                <w:rFonts w:ascii="Calibri" w:eastAsia="Calibri" w:hAnsi="Calibri" w:cs="Calibri"/>
                <w:b/>
                <w:sz w:val="20"/>
                <w:szCs w:val="20"/>
              </w:rPr>
            </w:pPr>
            <w:r>
              <w:rPr>
                <w:rFonts w:ascii="Calibri" w:eastAsia="Calibri" w:hAnsi="Calibri" w:cs="Calibri"/>
                <w:b/>
                <w:sz w:val="20"/>
                <w:szCs w:val="20"/>
              </w:rPr>
              <w:t>1</w:t>
            </w:r>
          </w:p>
        </w:tc>
        <w:tc>
          <w:tcPr>
            <w:tcW w:w="1126" w:type="dxa"/>
            <w:vAlign w:val="bottom"/>
          </w:tcPr>
          <w:p w14:paraId="4CB6690F" w14:textId="77777777" w:rsidR="00DE64A6" w:rsidRDefault="00000000">
            <w:pPr>
              <w:rPr>
                <w:rFonts w:ascii="Calibri" w:eastAsia="Calibri" w:hAnsi="Calibri" w:cs="Calibri"/>
              </w:rPr>
            </w:pPr>
            <w:r>
              <w:rPr>
                <w:rFonts w:ascii="Arial" w:eastAsia="Arial" w:hAnsi="Arial" w:cs="Arial"/>
                <w:sz w:val="20"/>
                <w:szCs w:val="20"/>
              </w:rPr>
              <w:t>-</w:t>
            </w:r>
          </w:p>
        </w:tc>
        <w:tc>
          <w:tcPr>
            <w:tcW w:w="2331" w:type="dxa"/>
            <w:vAlign w:val="bottom"/>
          </w:tcPr>
          <w:p w14:paraId="0CE9458F" w14:textId="77777777" w:rsidR="00DE64A6" w:rsidRDefault="00000000">
            <w:pPr>
              <w:rPr>
                <w:rFonts w:ascii="Calibri" w:eastAsia="Calibri" w:hAnsi="Calibri" w:cs="Calibri"/>
              </w:rPr>
            </w:pPr>
            <w:r>
              <w:rPr>
                <w:rFonts w:ascii="Arial" w:eastAsia="Arial" w:hAnsi="Arial" w:cs="Arial"/>
                <w:sz w:val="20"/>
                <w:szCs w:val="20"/>
              </w:rPr>
              <w:t>Highschool</w:t>
            </w:r>
          </w:p>
        </w:tc>
        <w:tc>
          <w:tcPr>
            <w:tcW w:w="3787" w:type="dxa"/>
            <w:vAlign w:val="bottom"/>
          </w:tcPr>
          <w:p w14:paraId="6C1E4202" w14:textId="77777777" w:rsidR="00DE64A6" w:rsidRDefault="00000000">
            <w:pPr>
              <w:tabs>
                <w:tab w:val="left" w:pos="1065"/>
              </w:tabs>
              <w:rPr>
                <w:rFonts w:ascii="Calibri" w:eastAsia="Calibri" w:hAnsi="Calibri" w:cs="Calibri"/>
              </w:rPr>
            </w:pPr>
            <w:r>
              <w:rPr>
                <w:rFonts w:ascii="Arial" w:eastAsia="Arial" w:hAnsi="Arial" w:cs="Arial"/>
                <w:sz w:val="20"/>
                <w:szCs w:val="20"/>
              </w:rPr>
              <w:t>Living Alone</w:t>
            </w:r>
          </w:p>
        </w:tc>
      </w:tr>
      <w:tr w:rsidR="00DE64A6" w14:paraId="607D53C1" w14:textId="77777777">
        <w:trPr>
          <w:trHeight w:val="316"/>
          <w:jc w:val="center"/>
        </w:trPr>
        <w:tc>
          <w:tcPr>
            <w:tcW w:w="900" w:type="dxa"/>
          </w:tcPr>
          <w:p w14:paraId="5E4DA6DD" w14:textId="77777777" w:rsidR="00DE64A6" w:rsidRDefault="00000000">
            <w:pPr>
              <w:rPr>
                <w:rFonts w:ascii="Calibri" w:eastAsia="Calibri" w:hAnsi="Calibri" w:cs="Calibri"/>
                <w:b/>
                <w:sz w:val="20"/>
                <w:szCs w:val="20"/>
              </w:rPr>
            </w:pPr>
            <w:r>
              <w:rPr>
                <w:rFonts w:ascii="Calibri" w:eastAsia="Calibri" w:hAnsi="Calibri" w:cs="Calibri"/>
                <w:b/>
                <w:sz w:val="20"/>
                <w:szCs w:val="20"/>
              </w:rPr>
              <w:t>2</w:t>
            </w:r>
          </w:p>
        </w:tc>
        <w:tc>
          <w:tcPr>
            <w:tcW w:w="1126" w:type="dxa"/>
            <w:vAlign w:val="bottom"/>
          </w:tcPr>
          <w:p w14:paraId="640749A5" w14:textId="77777777" w:rsidR="00DE64A6" w:rsidRDefault="00000000">
            <w:pPr>
              <w:rPr>
                <w:rFonts w:ascii="Calibri" w:eastAsia="Calibri" w:hAnsi="Calibri" w:cs="Calibri"/>
              </w:rPr>
            </w:pPr>
            <w:r>
              <w:rPr>
                <w:rFonts w:ascii="Arial" w:eastAsia="Arial" w:hAnsi="Arial" w:cs="Arial"/>
                <w:sz w:val="20"/>
                <w:szCs w:val="20"/>
              </w:rPr>
              <w:t>20</w:t>
            </w:r>
          </w:p>
        </w:tc>
        <w:tc>
          <w:tcPr>
            <w:tcW w:w="2331" w:type="dxa"/>
            <w:vAlign w:val="bottom"/>
          </w:tcPr>
          <w:p w14:paraId="06A12539" w14:textId="77777777" w:rsidR="00DE64A6" w:rsidRDefault="00000000">
            <w:pPr>
              <w:rPr>
                <w:rFonts w:ascii="Calibri" w:eastAsia="Calibri" w:hAnsi="Calibri" w:cs="Calibri"/>
              </w:rPr>
            </w:pPr>
            <w:r>
              <w:rPr>
                <w:rFonts w:ascii="Arial" w:eastAsia="Arial" w:hAnsi="Arial" w:cs="Arial"/>
                <w:sz w:val="20"/>
                <w:szCs w:val="20"/>
              </w:rPr>
              <w:t>Higher Education Graduate</w:t>
            </w:r>
          </w:p>
        </w:tc>
        <w:tc>
          <w:tcPr>
            <w:tcW w:w="3787" w:type="dxa"/>
            <w:vAlign w:val="bottom"/>
          </w:tcPr>
          <w:p w14:paraId="6F1DACDC" w14:textId="77777777" w:rsidR="00DE64A6" w:rsidRDefault="00000000">
            <w:pPr>
              <w:rPr>
                <w:rFonts w:ascii="Calibri" w:eastAsia="Calibri" w:hAnsi="Calibri" w:cs="Calibri"/>
              </w:rPr>
            </w:pPr>
            <w:r>
              <w:rPr>
                <w:rFonts w:ascii="Arial" w:eastAsia="Arial" w:hAnsi="Arial" w:cs="Arial"/>
                <w:sz w:val="20"/>
                <w:szCs w:val="20"/>
              </w:rPr>
              <w:t>Living Alone</w:t>
            </w:r>
          </w:p>
        </w:tc>
      </w:tr>
      <w:tr w:rsidR="00DE64A6" w14:paraId="3A97E66B" w14:textId="77777777">
        <w:trPr>
          <w:trHeight w:val="316"/>
          <w:jc w:val="center"/>
        </w:trPr>
        <w:tc>
          <w:tcPr>
            <w:tcW w:w="900" w:type="dxa"/>
          </w:tcPr>
          <w:p w14:paraId="4302F93E" w14:textId="77777777" w:rsidR="00DE64A6" w:rsidRDefault="00000000">
            <w:pPr>
              <w:rPr>
                <w:rFonts w:ascii="Calibri" w:eastAsia="Calibri" w:hAnsi="Calibri" w:cs="Calibri"/>
                <w:b/>
                <w:sz w:val="20"/>
                <w:szCs w:val="20"/>
              </w:rPr>
            </w:pPr>
            <w:r>
              <w:rPr>
                <w:rFonts w:ascii="Calibri" w:eastAsia="Calibri" w:hAnsi="Calibri" w:cs="Calibri"/>
                <w:b/>
                <w:sz w:val="20"/>
                <w:szCs w:val="20"/>
              </w:rPr>
              <w:t>3</w:t>
            </w:r>
          </w:p>
        </w:tc>
        <w:tc>
          <w:tcPr>
            <w:tcW w:w="1126" w:type="dxa"/>
            <w:vAlign w:val="bottom"/>
          </w:tcPr>
          <w:p w14:paraId="6420891A" w14:textId="77777777" w:rsidR="00DE64A6" w:rsidRDefault="00000000">
            <w:pPr>
              <w:rPr>
                <w:rFonts w:ascii="Calibri" w:eastAsia="Calibri" w:hAnsi="Calibri" w:cs="Calibri"/>
              </w:rPr>
            </w:pPr>
            <w:r>
              <w:rPr>
                <w:rFonts w:ascii="Arial" w:eastAsia="Arial" w:hAnsi="Arial" w:cs="Arial"/>
                <w:sz w:val="20"/>
                <w:szCs w:val="20"/>
              </w:rPr>
              <w:t>20</w:t>
            </w:r>
          </w:p>
        </w:tc>
        <w:tc>
          <w:tcPr>
            <w:tcW w:w="2331" w:type="dxa"/>
            <w:vAlign w:val="bottom"/>
          </w:tcPr>
          <w:p w14:paraId="4F389285" w14:textId="77777777" w:rsidR="00DE64A6" w:rsidRDefault="00000000">
            <w:pPr>
              <w:rPr>
                <w:rFonts w:ascii="Calibri" w:eastAsia="Calibri" w:hAnsi="Calibri" w:cs="Calibri"/>
              </w:rPr>
            </w:pPr>
            <w:r>
              <w:rPr>
                <w:rFonts w:ascii="Arial" w:eastAsia="Arial" w:hAnsi="Arial" w:cs="Arial"/>
                <w:sz w:val="20"/>
                <w:szCs w:val="20"/>
              </w:rPr>
              <w:t>Highschool</w:t>
            </w:r>
          </w:p>
        </w:tc>
        <w:tc>
          <w:tcPr>
            <w:tcW w:w="3787" w:type="dxa"/>
            <w:vAlign w:val="bottom"/>
          </w:tcPr>
          <w:p w14:paraId="4859DD9F" w14:textId="77777777" w:rsidR="00DE64A6" w:rsidRDefault="00000000">
            <w:pPr>
              <w:rPr>
                <w:rFonts w:ascii="Calibri" w:eastAsia="Calibri" w:hAnsi="Calibri" w:cs="Calibri"/>
              </w:rPr>
            </w:pPr>
            <w:r>
              <w:rPr>
                <w:rFonts w:ascii="Arial" w:eastAsia="Arial" w:hAnsi="Arial" w:cs="Arial"/>
                <w:sz w:val="20"/>
                <w:szCs w:val="20"/>
              </w:rPr>
              <w:t>Living with parents</w:t>
            </w:r>
          </w:p>
        </w:tc>
      </w:tr>
      <w:tr w:rsidR="00DE64A6" w14:paraId="43D12F8C" w14:textId="77777777">
        <w:trPr>
          <w:trHeight w:val="316"/>
          <w:jc w:val="center"/>
        </w:trPr>
        <w:tc>
          <w:tcPr>
            <w:tcW w:w="900" w:type="dxa"/>
          </w:tcPr>
          <w:p w14:paraId="706F5F8D" w14:textId="77777777" w:rsidR="00DE64A6" w:rsidRDefault="00000000">
            <w:pPr>
              <w:rPr>
                <w:rFonts w:ascii="Calibri" w:eastAsia="Calibri" w:hAnsi="Calibri" w:cs="Calibri"/>
                <w:b/>
                <w:sz w:val="20"/>
                <w:szCs w:val="20"/>
              </w:rPr>
            </w:pPr>
            <w:r>
              <w:rPr>
                <w:rFonts w:ascii="Calibri" w:eastAsia="Calibri" w:hAnsi="Calibri" w:cs="Calibri"/>
                <w:b/>
                <w:sz w:val="20"/>
                <w:szCs w:val="20"/>
              </w:rPr>
              <w:t>4</w:t>
            </w:r>
          </w:p>
        </w:tc>
        <w:tc>
          <w:tcPr>
            <w:tcW w:w="1126" w:type="dxa"/>
            <w:vAlign w:val="bottom"/>
          </w:tcPr>
          <w:p w14:paraId="7BB18567" w14:textId="77777777" w:rsidR="00DE64A6" w:rsidRDefault="00000000">
            <w:pPr>
              <w:rPr>
                <w:rFonts w:ascii="Calibri" w:eastAsia="Calibri" w:hAnsi="Calibri" w:cs="Calibri"/>
              </w:rPr>
            </w:pPr>
            <w:r>
              <w:rPr>
                <w:rFonts w:ascii="Arial" w:eastAsia="Arial" w:hAnsi="Arial" w:cs="Arial"/>
                <w:sz w:val="20"/>
                <w:szCs w:val="20"/>
              </w:rPr>
              <w:t>29</w:t>
            </w:r>
          </w:p>
        </w:tc>
        <w:tc>
          <w:tcPr>
            <w:tcW w:w="2331" w:type="dxa"/>
            <w:vAlign w:val="bottom"/>
          </w:tcPr>
          <w:p w14:paraId="6457B0E2" w14:textId="77777777" w:rsidR="00DE64A6" w:rsidRDefault="00000000">
            <w:pPr>
              <w:rPr>
                <w:rFonts w:ascii="Calibri" w:eastAsia="Calibri" w:hAnsi="Calibri" w:cs="Calibri"/>
              </w:rPr>
            </w:pPr>
            <w:r>
              <w:rPr>
                <w:rFonts w:ascii="Arial" w:eastAsia="Arial" w:hAnsi="Arial" w:cs="Arial"/>
                <w:sz w:val="20"/>
                <w:szCs w:val="20"/>
              </w:rPr>
              <w:t>Higher Education Graduate</w:t>
            </w:r>
          </w:p>
        </w:tc>
        <w:tc>
          <w:tcPr>
            <w:tcW w:w="3787" w:type="dxa"/>
            <w:vAlign w:val="bottom"/>
          </w:tcPr>
          <w:p w14:paraId="1329C0AC" w14:textId="77777777" w:rsidR="00DE64A6" w:rsidRDefault="00000000">
            <w:pPr>
              <w:rPr>
                <w:rFonts w:ascii="Calibri" w:eastAsia="Calibri" w:hAnsi="Calibri" w:cs="Calibri"/>
              </w:rPr>
            </w:pPr>
            <w:r>
              <w:rPr>
                <w:rFonts w:ascii="Arial" w:eastAsia="Arial" w:hAnsi="Arial" w:cs="Arial"/>
                <w:sz w:val="20"/>
                <w:szCs w:val="20"/>
              </w:rPr>
              <w:t>Living Alone</w:t>
            </w:r>
          </w:p>
        </w:tc>
      </w:tr>
      <w:tr w:rsidR="00DE64A6" w14:paraId="584CF1C0" w14:textId="77777777">
        <w:trPr>
          <w:trHeight w:val="316"/>
          <w:jc w:val="center"/>
        </w:trPr>
        <w:tc>
          <w:tcPr>
            <w:tcW w:w="900" w:type="dxa"/>
          </w:tcPr>
          <w:p w14:paraId="4B19D604" w14:textId="77777777" w:rsidR="00DE64A6" w:rsidRDefault="00000000">
            <w:pPr>
              <w:rPr>
                <w:rFonts w:ascii="Calibri" w:eastAsia="Calibri" w:hAnsi="Calibri" w:cs="Calibri"/>
                <w:b/>
                <w:sz w:val="20"/>
                <w:szCs w:val="20"/>
              </w:rPr>
            </w:pPr>
            <w:r>
              <w:rPr>
                <w:rFonts w:ascii="Calibri" w:eastAsia="Calibri" w:hAnsi="Calibri" w:cs="Calibri"/>
                <w:b/>
                <w:sz w:val="20"/>
                <w:szCs w:val="20"/>
              </w:rPr>
              <w:t>5</w:t>
            </w:r>
          </w:p>
        </w:tc>
        <w:tc>
          <w:tcPr>
            <w:tcW w:w="1126" w:type="dxa"/>
            <w:vAlign w:val="bottom"/>
          </w:tcPr>
          <w:p w14:paraId="39342E39" w14:textId="77777777" w:rsidR="00DE64A6" w:rsidRDefault="00000000">
            <w:pPr>
              <w:rPr>
                <w:rFonts w:ascii="Calibri" w:eastAsia="Calibri" w:hAnsi="Calibri" w:cs="Calibri"/>
              </w:rPr>
            </w:pPr>
            <w:r>
              <w:rPr>
                <w:rFonts w:ascii="Arial" w:eastAsia="Arial" w:hAnsi="Arial" w:cs="Arial"/>
                <w:sz w:val="20"/>
                <w:szCs w:val="20"/>
              </w:rPr>
              <w:t>26</w:t>
            </w:r>
          </w:p>
        </w:tc>
        <w:tc>
          <w:tcPr>
            <w:tcW w:w="2331" w:type="dxa"/>
            <w:vAlign w:val="bottom"/>
          </w:tcPr>
          <w:p w14:paraId="21DE0139" w14:textId="77777777" w:rsidR="00DE64A6" w:rsidRDefault="00000000">
            <w:pPr>
              <w:rPr>
                <w:rFonts w:ascii="Calibri" w:eastAsia="Calibri" w:hAnsi="Calibri" w:cs="Calibri"/>
              </w:rPr>
            </w:pPr>
            <w:r>
              <w:rPr>
                <w:rFonts w:ascii="Arial" w:eastAsia="Arial" w:hAnsi="Arial" w:cs="Arial"/>
                <w:sz w:val="20"/>
                <w:szCs w:val="20"/>
              </w:rPr>
              <w:t>Highschool</w:t>
            </w:r>
          </w:p>
        </w:tc>
        <w:tc>
          <w:tcPr>
            <w:tcW w:w="3787" w:type="dxa"/>
            <w:vAlign w:val="bottom"/>
          </w:tcPr>
          <w:p w14:paraId="5CE1AA3E" w14:textId="77777777" w:rsidR="00DE64A6" w:rsidRDefault="00000000">
            <w:pPr>
              <w:rPr>
                <w:rFonts w:ascii="Calibri" w:eastAsia="Calibri" w:hAnsi="Calibri" w:cs="Calibri"/>
              </w:rPr>
            </w:pPr>
            <w:r>
              <w:rPr>
                <w:rFonts w:ascii="Arial" w:eastAsia="Arial" w:hAnsi="Arial" w:cs="Arial"/>
                <w:sz w:val="20"/>
                <w:szCs w:val="20"/>
              </w:rPr>
              <w:t>Living Alone</w:t>
            </w:r>
          </w:p>
        </w:tc>
      </w:tr>
      <w:tr w:rsidR="00DE64A6" w14:paraId="42A73EE2" w14:textId="77777777">
        <w:trPr>
          <w:trHeight w:val="316"/>
          <w:jc w:val="center"/>
        </w:trPr>
        <w:tc>
          <w:tcPr>
            <w:tcW w:w="900" w:type="dxa"/>
          </w:tcPr>
          <w:p w14:paraId="1AE33BCD" w14:textId="77777777" w:rsidR="00DE64A6" w:rsidRDefault="00000000">
            <w:pPr>
              <w:rPr>
                <w:rFonts w:ascii="Calibri" w:eastAsia="Calibri" w:hAnsi="Calibri" w:cs="Calibri"/>
                <w:b/>
                <w:sz w:val="20"/>
                <w:szCs w:val="20"/>
              </w:rPr>
            </w:pPr>
            <w:r>
              <w:rPr>
                <w:rFonts w:ascii="Calibri" w:eastAsia="Calibri" w:hAnsi="Calibri" w:cs="Calibri"/>
                <w:b/>
                <w:sz w:val="20"/>
                <w:szCs w:val="20"/>
              </w:rPr>
              <w:t>6</w:t>
            </w:r>
          </w:p>
        </w:tc>
        <w:tc>
          <w:tcPr>
            <w:tcW w:w="1126" w:type="dxa"/>
            <w:vAlign w:val="bottom"/>
          </w:tcPr>
          <w:p w14:paraId="1A79F447" w14:textId="77777777" w:rsidR="00DE64A6" w:rsidRDefault="00000000">
            <w:pPr>
              <w:rPr>
                <w:rFonts w:ascii="Calibri" w:eastAsia="Calibri" w:hAnsi="Calibri" w:cs="Calibri"/>
              </w:rPr>
            </w:pPr>
            <w:r>
              <w:rPr>
                <w:rFonts w:ascii="Arial" w:eastAsia="Arial" w:hAnsi="Arial" w:cs="Arial"/>
                <w:sz w:val="20"/>
                <w:szCs w:val="20"/>
              </w:rPr>
              <w:t>25</w:t>
            </w:r>
          </w:p>
        </w:tc>
        <w:tc>
          <w:tcPr>
            <w:tcW w:w="2331" w:type="dxa"/>
            <w:vAlign w:val="bottom"/>
          </w:tcPr>
          <w:p w14:paraId="539D023C" w14:textId="77777777" w:rsidR="00DE64A6" w:rsidRDefault="00000000">
            <w:pPr>
              <w:rPr>
                <w:rFonts w:ascii="Calibri" w:eastAsia="Calibri" w:hAnsi="Calibri" w:cs="Calibri"/>
              </w:rPr>
            </w:pPr>
            <w:r>
              <w:rPr>
                <w:rFonts w:ascii="Arial" w:eastAsia="Arial" w:hAnsi="Arial" w:cs="Arial"/>
                <w:sz w:val="20"/>
                <w:szCs w:val="20"/>
              </w:rPr>
              <w:t>Highschool</w:t>
            </w:r>
          </w:p>
        </w:tc>
        <w:tc>
          <w:tcPr>
            <w:tcW w:w="3787" w:type="dxa"/>
            <w:vAlign w:val="bottom"/>
          </w:tcPr>
          <w:p w14:paraId="496BABB6" w14:textId="77777777" w:rsidR="00DE64A6" w:rsidRDefault="00000000">
            <w:pPr>
              <w:rPr>
                <w:rFonts w:ascii="Calibri" w:eastAsia="Calibri" w:hAnsi="Calibri" w:cs="Calibri"/>
              </w:rPr>
            </w:pPr>
            <w:r>
              <w:rPr>
                <w:rFonts w:ascii="Arial" w:eastAsia="Arial" w:hAnsi="Arial" w:cs="Arial"/>
                <w:sz w:val="20"/>
                <w:szCs w:val="20"/>
              </w:rPr>
              <w:t>Living with a roommate</w:t>
            </w:r>
          </w:p>
        </w:tc>
      </w:tr>
      <w:tr w:rsidR="00DE64A6" w14:paraId="1B8FC6CA" w14:textId="77777777">
        <w:trPr>
          <w:trHeight w:val="316"/>
          <w:jc w:val="center"/>
        </w:trPr>
        <w:tc>
          <w:tcPr>
            <w:tcW w:w="900" w:type="dxa"/>
          </w:tcPr>
          <w:p w14:paraId="25242ECF" w14:textId="77777777" w:rsidR="00DE64A6" w:rsidRDefault="00000000">
            <w:pPr>
              <w:rPr>
                <w:rFonts w:ascii="Calibri" w:eastAsia="Calibri" w:hAnsi="Calibri" w:cs="Calibri"/>
                <w:b/>
                <w:sz w:val="20"/>
                <w:szCs w:val="20"/>
              </w:rPr>
            </w:pPr>
            <w:r>
              <w:rPr>
                <w:rFonts w:ascii="Calibri" w:eastAsia="Calibri" w:hAnsi="Calibri" w:cs="Calibri"/>
                <w:b/>
                <w:sz w:val="20"/>
                <w:szCs w:val="20"/>
              </w:rPr>
              <w:t>7</w:t>
            </w:r>
          </w:p>
        </w:tc>
        <w:tc>
          <w:tcPr>
            <w:tcW w:w="1126" w:type="dxa"/>
          </w:tcPr>
          <w:p w14:paraId="78247258" w14:textId="77777777" w:rsidR="00DE64A6" w:rsidRDefault="00000000">
            <w:pPr>
              <w:rPr>
                <w:rFonts w:ascii="Calibri" w:eastAsia="Calibri" w:hAnsi="Calibri" w:cs="Calibri"/>
              </w:rPr>
            </w:pPr>
            <w:r>
              <w:rPr>
                <w:rFonts w:ascii="Calibri" w:eastAsia="Calibri" w:hAnsi="Calibri" w:cs="Calibri"/>
              </w:rPr>
              <w:t>28</w:t>
            </w:r>
          </w:p>
        </w:tc>
        <w:tc>
          <w:tcPr>
            <w:tcW w:w="2331" w:type="dxa"/>
          </w:tcPr>
          <w:p w14:paraId="29438E2F" w14:textId="77777777" w:rsidR="00DE64A6" w:rsidRDefault="00000000">
            <w:pPr>
              <w:rPr>
                <w:rFonts w:ascii="Calibri" w:eastAsia="Calibri" w:hAnsi="Calibri" w:cs="Calibri"/>
              </w:rPr>
            </w:pPr>
            <w:r>
              <w:rPr>
                <w:rFonts w:ascii="Arial" w:eastAsia="Arial" w:hAnsi="Arial" w:cs="Arial"/>
                <w:sz w:val="20"/>
                <w:szCs w:val="20"/>
              </w:rPr>
              <w:t>Higher Education Graduate</w:t>
            </w:r>
          </w:p>
        </w:tc>
        <w:tc>
          <w:tcPr>
            <w:tcW w:w="3787" w:type="dxa"/>
            <w:vAlign w:val="bottom"/>
          </w:tcPr>
          <w:p w14:paraId="1FB2706D" w14:textId="77777777" w:rsidR="00DE64A6" w:rsidRDefault="00000000">
            <w:pPr>
              <w:rPr>
                <w:rFonts w:ascii="Calibri" w:eastAsia="Calibri" w:hAnsi="Calibri" w:cs="Calibri"/>
              </w:rPr>
            </w:pPr>
            <w:r>
              <w:rPr>
                <w:rFonts w:ascii="Arial" w:eastAsia="Arial" w:hAnsi="Arial" w:cs="Arial"/>
                <w:sz w:val="20"/>
                <w:szCs w:val="20"/>
              </w:rPr>
              <w:t>Living with a roommate</w:t>
            </w:r>
          </w:p>
        </w:tc>
      </w:tr>
      <w:tr w:rsidR="00DE64A6" w14:paraId="4C58139F" w14:textId="77777777">
        <w:trPr>
          <w:trHeight w:val="316"/>
          <w:jc w:val="center"/>
        </w:trPr>
        <w:tc>
          <w:tcPr>
            <w:tcW w:w="900" w:type="dxa"/>
          </w:tcPr>
          <w:p w14:paraId="75C9E7E8" w14:textId="77777777" w:rsidR="00DE64A6" w:rsidRDefault="00000000">
            <w:pPr>
              <w:rPr>
                <w:rFonts w:ascii="Calibri" w:eastAsia="Calibri" w:hAnsi="Calibri" w:cs="Calibri"/>
                <w:b/>
                <w:sz w:val="20"/>
                <w:szCs w:val="20"/>
              </w:rPr>
            </w:pPr>
            <w:r>
              <w:rPr>
                <w:rFonts w:ascii="Calibri" w:eastAsia="Calibri" w:hAnsi="Calibri" w:cs="Calibri"/>
                <w:b/>
                <w:sz w:val="20"/>
                <w:szCs w:val="20"/>
              </w:rPr>
              <w:lastRenderedPageBreak/>
              <w:t>8</w:t>
            </w:r>
          </w:p>
        </w:tc>
        <w:tc>
          <w:tcPr>
            <w:tcW w:w="1126" w:type="dxa"/>
          </w:tcPr>
          <w:p w14:paraId="5DD295C8" w14:textId="77777777" w:rsidR="00DE64A6" w:rsidRDefault="00000000">
            <w:pPr>
              <w:rPr>
                <w:rFonts w:ascii="Calibri" w:eastAsia="Calibri" w:hAnsi="Calibri" w:cs="Calibri"/>
              </w:rPr>
            </w:pPr>
            <w:r>
              <w:rPr>
                <w:rFonts w:ascii="Calibri" w:eastAsia="Calibri" w:hAnsi="Calibri" w:cs="Calibri"/>
              </w:rPr>
              <w:t>40</w:t>
            </w:r>
          </w:p>
        </w:tc>
        <w:tc>
          <w:tcPr>
            <w:tcW w:w="2331" w:type="dxa"/>
          </w:tcPr>
          <w:p w14:paraId="72C90613" w14:textId="77777777" w:rsidR="00DE64A6" w:rsidRDefault="00000000">
            <w:pPr>
              <w:rPr>
                <w:rFonts w:ascii="Calibri" w:eastAsia="Calibri" w:hAnsi="Calibri" w:cs="Calibri"/>
              </w:rPr>
            </w:pPr>
            <w:r>
              <w:rPr>
                <w:rFonts w:ascii="Calibri" w:eastAsia="Calibri" w:hAnsi="Calibri" w:cs="Calibri"/>
              </w:rPr>
              <w:t>Vocational education</w:t>
            </w:r>
          </w:p>
        </w:tc>
        <w:tc>
          <w:tcPr>
            <w:tcW w:w="3787" w:type="dxa"/>
          </w:tcPr>
          <w:p w14:paraId="24FB00BD" w14:textId="77777777" w:rsidR="00DE64A6" w:rsidRDefault="00000000">
            <w:pPr>
              <w:rPr>
                <w:rFonts w:ascii="Calibri" w:eastAsia="Calibri" w:hAnsi="Calibri" w:cs="Calibri"/>
              </w:rPr>
            </w:pPr>
            <w:r>
              <w:rPr>
                <w:rFonts w:ascii="Arial" w:eastAsia="Arial" w:hAnsi="Arial" w:cs="Arial"/>
                <w:sz w:val="20"/>
                <w:szCs w:val="20"/>
              </w:rPr>
              <w:t>Living Alone</w:t>
            </w:r>
          </w:p>
        </w:tc>
      </w:tr>
      <w:tr w:rsidR="00DE64A6" w14:paraId="260C6291" w14:textId="77777777">
        <w:trPr>
          <w:trHeight w:val="316"/>
          <w:jc w:val="center"/>
        </w:trPr>
        <w:tc>
          <w:tcPr>
            <w:tcW w:w="900" w:type="dxa"/>
          </w:tcPr>
          <w:p w14:paraId="69F5A71B" w14:textId="77777777" w:rsidR="00DE64A6" w:rsidRDefault="00000000">
            <w:pPr>
              <w:rPr>
                <w:rFonts w:ascii="Calibri" w:eastAsia="Calibri" w:hAnsi="Calibri" w:cs="Calibri"/>
                <w:b/>
                <w:sz w:val="20"/>
                <w:szCs w:val="20"/>
              </w:rPr>
            </w:pPr>
            <w:r>
              <w:rPr>
                <w:rFonts w:ascii="Calibri" w:eastAsia="Calibri" w:hAnsi="Calibri" w:cs="Calibri"/>
                <w:b/>
                <w:sz w:val="20"/>
                <w:szCs w:val="20"/>
              </w:rPr>
              <w:t>9</w:t>
            </w:r>
          </w:p>
        </w:tc>
        <w:tc>
          <w:tcPr>
            <w:tcW w:w="1126" w:type="dxa"/>
          </w:tcPr>
          <w:p w14:paraId="1018A9AD" w14:textId="77777777" w:rsidR="00DE64A6" w:rsidRDefault="00000000">
            <w:pPr>
              <w:rPr>
                <w:rFonts w:ascii="Calibri" w:eastAsia="Calibri" w:hAnsi="Calibri" w:cs="Calibri"/>
              </w:rPr>
            </w:pPr>
            <w:r>
              <w:rPr>
                <w:rFonts w:ascii="Calibri" w:eastAsia="Calibri" w:hAnsi="Calibri" w:cs="Calibri"/>
              </w:rPr>
              <w:t>45</w:t>
            </w:r>
          </w:p>
        </w:tc>
        <w:tc>
          <w:tcPr>
            <w:tcW w:w="2331" w:type="dxa"/>
          </w:tcPr>
          <w:p w14:paraId="1D3216C9" w14:textId="77777777" w:rsidR="00DE64A6" w:rsidRDefault="00000000">
            <w:pPr>
              <w:rPr>
                <w:rFonts w:ascii="Calibri" w:eastAsia="Calibri" w:hAnsi="Calibri" w:cs="Calibri"/>
              </w:rPr>
            </w:pPr>
            <w:r>
              <w:rPr>
                <w:rFonts w:ascii="Calibri" w:eastAsia="Calibri" w:hAnsi="Calibri" w:cs="Calibri"/>
              </w:rPr>
              <w:t>Vocational education</w:t>
            </w:r>
          </w:p>
        </w:tc>
        <w:tc>
          <w:tcPr>
            <w:tcW w:w="3787" w:type="dxa"/>
          </w:tcPr>
          <w:p w14:paraId="25A0D4B1" w14:textId="77777777" w:rsidR="00DE64A6" w:rsidRDefault="00000000">
            <w:pPr>
              <w:rPr>
                <w:rFonts w:ascii="Calibri" w:eastAsia="Calibri" w:hAnsi="Calibri" w:cs="Calibri"/>
              </w:rPr>
            </w:pPr>
            <w:r>
              <w:rPr>
                <w:rFonts w:ascii="Arial" w:eastAsia="Arial" w:hAnsi="Arial" w:cs="Arial"/>
                <w:sz w:val="20"/>
                <w:szCs w:val="20"/>
              </w:rPr>
              <w:t>Living Alone</w:t>
            </w:r>
          </w:p>
        </w:tc>
      </w:tr>
      <w:tr w:rsidR="00DE64A6" w14:paraId="74739D4B" w14:textId="77777777">
        <w:trPr>
          <w:trHeight w:val="296"/>
          <w:jc w:val="center"/>
        </w:trPr>
        <w:tc>
          <w:tcPr>
            <w:tcW w:w="900" w:type="dxa"/>
          </w:tcPr>
          <w:p w14:paraId="442E2D77" w14:textId="77777777" w:rsidR="00DE64A6" w:rsidRDefault="00000000">
            <w:pPr>
              <w:rPr>
                <w:rFonts w:ascii="Calibri" w:eastAsia="Calibri" w:hAnsi="Calibri" w:cs="Calibri"/>
                <w:b/>
                <w:sz w:val="20"/>
                <w:szCs w:val="20"/>
              </w:rPr>
            </w:pPr>
            <w:r>
              <w:rPr>
                <w:rFonts w:ascii="Calibri" w:eastAsia="Calibri" w:hAnsi="Calibri" w:cs="Calibri"/>
                <w:b/>
                <w:sz w:val="20"/>
                <w:szCs w:val="20"/>
              </w:rPr>
              <w:t>10</w:t>
            </w:r>
          </w:p>
        </w:tc>
        <w:tc>
          <w:tcPr>
            <w:tcW w:w="1126" w:type="dxa"/>
          </w:tcPr>
          <w:p w14:paraId="3A931170" w14:textId="77777777" w:rsidR="00DE64A6" w:rsidRDefault="00000000">
            <w:pPr>
              <w:rPr>
                <w:rFonts w:ascii="Calibri" w:eastAsia="Calibri" w:hAnsi="Calibri" w:cs="Calibri"/>
              </w:rPr>
            </w:pPr>
            <w:r>
              <w:rPr>
                <w:rFonts w:ascii="Calibri" w:eastAsia="Calibri" w:hAnsi="Calibri" w:cs="Calibri"/>
              </w:rPr>
              <w:t>38</w:t>
            </w:r>
          </w:p>
        </w:tc>
        <w:tc>
          <w:tcPr>
            <w:tcW w:w="2331" w:type="dxa"/>
          </w:tcPr>
          <w:p w14:paraId="3710BC0C" w14:textId="77777777" w:rsidR="00DE64A6" w:rsidRDefault="00000000">
            <w:pPr>
              <w:rPr>
                <w:rFonts w:ascii="Calibri" w:eastAsia="Calibri" w:hAnsi="Calibri" w:cs="Calibri"/>
              </w:rPr>
            </w:pPr>
            <w:r>
              <w:rPr>
                <w:rFonts w:ascii="Arial" w:eastAsia="Arial" w:hAnsi="Arial" w:cs="Arial"/>
                <w:sz w:val="20"/>
                <w:szCs w:val="20"/>
              </w:rPr>
              <w:t>Higher Education Graduate</w:t>
            </w:r>
          </w:p>
        </w:tc>
        <w:tc>
          <w:tcPr>
            <w:tcW w:w="3787" w:type="dxa"/>
          </w:tcPr>
          <w:p w14:paraId="180AE158" w14:textId="77777777" w:rsidR="00DE64A6" w:rsidRDefault="00000000">
            <w:pPr>
              <w:rPr>
                <w:rFonts w:ascii="Calibri" w:eastAsia="Calibri" w:hAnsi="Calibri" w:cs="Calibri"/>
              </w:rPr>
            </w:pPr>
            <w:r>
              <w:rPr>
                <w:rFonts w:ascii="Arial" w:eastAsia="Arial" w:hAnsi="Arial" w:cs="Arial"/>
                <w:sz w:val="20"/>
                <w:szCs w:val="20"/>
              </w:rPr>
              <w:t>Living with a roommate</w:t>
            </w:r>
          </w:p>
        </w:tc>
      </w:tr>
    </w:tbl>
    <w:p w14:paraId="12664C85" w14:textId="77777777" w:rsidR="00DE64A6" w:rsidRDefault="00DE64A6">
      <w:pPr>
        <w:spacing w:after="0" w:line="360" w:lineRule="auto"/>
        <w:jc w:val="both"/>
        <w:rPr>
          <w:sz w:val="24"/>
          <w:szCs w:val="24"/>
        </w:rPr>
      </w:pPr>
    </w:p>
    <w:p w14:paraId="799250F8" w14:textId="77777777" w:rsidR="00DE64A6" w:rsidRDefault="00000000">
      <w:pPr>
        <w:spacing w:after="0" w:line="360" w:lineRule="auto"/>
        <w:jc w:val="both"/>
        <w:rPr>
          <w:sz w:val="24"/>
          <w:szCs w:val="24"/>
        </w:rPr>
      </w:pPr>
      <w:r>
        <w:rPr>
          <w:sz w:val="24"/>
          <w:szCs w:val="24"/>
        </w:rPr>
        <w:t xml:space="preserve">The impact of the epidemic on social exclusion, as well as the connection with drivers of stigma and discrimination, is the focus of the interviews with LGBTQI recipients. We also attempted to identify good practices by </w:t>
      </w:r>
      <w:proofErr w:type="spellStart"/>
      <w:r>
        <w:rPr>
          <w:sz w:val="24"/>
          <w:szCs w:val="24"/>
        </w:rPr>
        <w:t>analyzing</w:t>
      </w:r>
      <w:proofErr w:type="spellEnd"/>
      <w:r>
        <w:rPr>
          <w:sz w:val="24"/>
          <w:szCs w:val="24"/>
        </w:rPr>
        <w:t xml:space="preserve"> measures taken in the context of the pandemic that were aimed at prosecuting LGBT and gender-diverse people or had indirect or inadvertent discriminatory impacts. </w:t>
      </w:r>
    </w:p>
    <w:p w14:paraId="7D39454F" w14:textId="77777777" w:rsidR="00DE64A6" w:rsidRDefault="00000000">
      <w:pPr>
        <w:spacing w:after="0" w:line="360" w:lineRule="auto"/>
        <w:jc w:val="both"/>
        <w:rPr>
          <w:sz w:val="24"/>
          <w:szCs w:val="24"/>
        </w:rPr>
      </w:pPr>
      <w:r>
        <w:rPr>
          <w:sz w:val="24"/>
          <w:szCs w:val="24"/>
        </w:rPr>
        <w:t xml:space="preserve">The participants in the study believe that </w:t>
      </w:r>
      <w:r>
        <w:rPr>
          <w:b/>
          <w:sz w:val="24"/>
          <w:szCs w:val="24"/>
        </w:rPr>
        <w:t>the pandemic has hit the poorest and most vulnerable hardest</w:t>
      </w:r>
      <w:r>
        <w:rPr>
          <w:sz w:val="24"/>
          <w:szCs w:val="24"/>
        </w:rPr>
        <w:t xml:space="preserve">, and that the measures are showing some serious disparities, as well as insufficient safety schemes, which require immediate consideration. In the study, 5/10 of LGBTQ people said that COVID-19 has caused job loss, income reduction, or reduced hours for someone in their household; 5/10 said they have pandemic-related anxiety and melancholy; and 7/10 said they are worried they are more likely to get sick from COVID19 than their non-LGBTQI friends. </w:t>
      </w:r>
    </w:p>
    <w:p w14:paraId="1924D46C" w14:textId="77777777" w:rsidR="00DE64A6" w:rsidRDefault="00DE64A6">
      <w:pPr>
        <w:spacing w:after="0" w:line="360" w:lineRule="auto"/>
        <w:jc w:val="both"/>
        <w:rPr>
          <w:sz w:val="24"/>
          <w:szCs w:val="24"/>
        </w:rPr>
      </w:pPr>
    </w:p>
    <w:p w14:paraId="34F5FC4A" w14:textId="77777777" w:rsidR="00DE64A6" w:rsidRDefault="00000000">
      <w:pPr>
        <w:spacing w:after="0" w:line="360" w:lineRule="auto"/>
        <w:jc w:val="both"/>
        <w:rPr>
          <w:sz w:val="24"/>
          <w:szCs w:val="24"/>
        </w:rPr>
      </w:pPr>
      <w:r>
        <w:rPr>
          <w:sz w:val="24"/>
          <w:szCs w:val="24"/>
        </w:rPr>
        <w:t xml:space="preserve">LGBTQ individuals have a long history of prejudice and stigma. It was said that they had </w:t>
      </w:r>
      <w:r>
        <w:rPr>
          <w:b/>
          <w:sz w:val="24"/>
          <w:szCs w:val="24"/>
        </w:rPr>
        <w:t>greater rates of mental illness and a lack of access to health treatment</w:t>
      </w:r>
      <w:r>
        <w:rPr>
          <w:sz w:val="24"/>
          <w:szCs w:val="24"/>
        </w:rPr>
        <w:t xml:space="preserve">. We know they have </w:t>
      </w:r>
      <w:r>
        <w:rPr>
          <w:b/>
          <w:sz w:val="24"/>
          <w:szCs w:val="24"/>
        </w:rPr>
        <w:t>lower salaries</w:t>
      </w:r>
      <w:r>
        <w:rPr>
          <w:sz w:val="24"/>
          <w:szCs w:val="24"/>
        </w:rPr>
        <w:t xml:space="preserve"> and work in </w:t>
      </w:r>
      <w:r>
        <w:rPr>
          <w:b/>
          <w:sz w:val="24"/>
          <w:szCs w:val="24"/>
        </w:rPr>
        <w:t>industries that are more prone to COVID19</w:t>
      </w:r>
      <w:r>
        <w:rPr>
          <w:sz w:val="24"/>
          <w:szCs w:val="24"/>
        </w:rPr>
        <w:t>, so this is about figuring out how a vulnerable group is affected.</w:t>
      </w:r>
    </w:p>
    <w:p w14:paraId="5BDC808B" w14:textId="77777777" w:rsidR="00DE64A6" w:rsidRDefault="00DE64A6">
      <w:pPr>
        <w:spacing w:after="0" w:line="360" w:lineRule="auto"/>
        <w:jc w:val="both"/>
        <w:rPr>
          <w:sz w:val="24"/>
          <w:szCs w:val="24"/>
        </w:rPr>
      </w:pPr>
    </w:p>
    <w:p w14:paraId="353C3049" w14:textId="77777777" w:rsidR="00DE64A6" w:rsidRDefault="00000000">
      <w:pPr>
        <w:spacing w:after="0" w:line="360" w:lineRule="auto"/>
        <w:jc w:val="both"/>
        <w:rPr>
          <w:sz w:val="24"/>
          <w:szCs w:val="24"/>
        </w:rPr>
      </w:pPr>
      <w:r>
        <w:rPr>
          <w:sz w:val="24"/>
          <w:szCs w:val="24"/>
        </w:rPr>
        <w:t xml:space="preserve">The participants attempted to explain to the moderators the </w:t>
      </w:r>
      <w:r>
        <w:rPr>
          <w:b/>
          <w:sz w:val="24"/>
          <w:szCs w:val="24"/>
        </w:rPr>
        <w:t>links that exist between stigma, violence, and discrimination</w:t>
      </w:r>
      <w:r>
        <w:rPr>
          <w:sz w:val="24"/>
          <w:szCs w:val="24"/>
        </w:rPr>
        <w:t xml:space="preserve">, as well as the </w:t>
      </w:r>
      <w:r>
        <w:rPr>
          <w:b/>
          <w:sz w:val="24"/>
          <w:szCs w:val="24"/>
        </w:rPr>
        <w:t>cycles of exclusion</w:t>
      </w:r>
      <w:r>
        <w:rPr>
          <w:sz w:val="24"/>
          <w:szCs w:val="24"/>
        </w:rPr>
        <w:t xml:space="preserve"> and poverty that many LGBT and gender-diverse people face if they choose to live openly and freely according to their sexual orientation and gender identity. The COVID-19 </w:t>
      </w:r>
      <w:r>
        <w:rPr>
          <w:b/>
          <w:sz w:val="24"/>
          <w:szCs w:val="24"/>
        </w:rPr>
        <w:t xml:space="preserve">pandemic seems to have made these situations worse. </w:t>
      </w:r>
      <w:r>
        <w:rPr>
          <w:sz w:val="24"/>
          <w:szCs w:val="24"/>
        </w:rPr>
        <w:t xml:space="preserve">The epidemic has created difficulties that LGBTQ people </w:t>
      </w:r>
      <w:r>
        <w:rPr>
          <w:b/>
          <w:sz w:val="24"/>
          <w:szCs w:val="24"/>
        </w:rPr>
        <w:t>already confront, such as employment and housing discrimination, food instability, homelessness vulnerability, inadequate health treatment, and increased rates of mental illness.</w:t>
      </w:r>
      <w:r>
        <w:rPr>
          <w:sz w:val="24"/>
          <w:szCs w:val="24"/>
        </w:rPr>
        <w:t xml:space="preserve"> Though employment losses and economic hardship have been felt across the LGBTQ community, the pandemic has had a particularly negative impact on people who are most vulnerable to discrimination.</w:t>
      </w:r>
    </w:p>
    <w:p w14:paraId="6115278D" w14:textId="77777777" w:rsidR="00DE64A6" w:rsidRDefault="00DE64A6">
      <w:pPr>
        <w:spacing w:after="0" w:line="360" w:lineRule="auto"/>
        <w:jc w:val="both"/>
        <w:rPr>
          <w:sz w:val="24"/>
          <w:szCs w:val="24"/>
        </w:rPr>
      </w:pPr>
    </w:p>
    <w:p w14:paraId="039B2D8F" w14:textId="77777777" w:rsidR="00DE64A6" w:rsidRDefault="00000000">
      <w:pPr>
        <w:spacing w:after="0" w:line="360" w:lineRule="auto"/>
        <w:jc w:val="both"/>
        <w:rPr>
          <w:sz w:val="24"/>
          <w:szCs w:val="24"/>
        </w:rPr>
      </w:pPr>
      <w:r>
        <w:rPr>
          <w:sz w:val="24"/>
          <w:szCs w:val="24"/>
        </w:rPr>
        <w:t xml:space="preserve">The conversations with service recipients have led us to two crucial conclusions: One is that </w:t>
      </w:r>
      <w:r>
        <w:rPr>
          <w:b/>
          <w:sz w:val="24"/>
          <w:szCs w:val="24"/>
        </w:rPr>
        <w:t>transgender individuals are having a harder time</w:t>
      </w:r>
      <w:r>
        <w:rPr>
          <w:sz w:val="24"/>
          <w:szCs w:val="24"/>
        </w:rPr>
        <w:t xml:space="preserve"> in general, and </w:t>
      </w:r>
      <w:r>
        <w:rPr>
          <w:b/>
          <w:sz w:val="24"/>
          <w:szCs w:val="24"/>
        </w:rPr>
        <w:t xml:space="preserve">LGBTQI persons of </w:t>
      </w:r>
      <w:proofErr w:type="spellStart"/>
      <w:r>
        <w:rPr>
          <w:b/>
          <w:sz w:val="24"/>
          <w:szCs w:val="24"/>
        </w:rPr>
        <w:t>color</w:t>
      </w:r>
      <w:proofErr w:type="spellEnd"/>
      <w:r>
        <w:rPr>
          <w:sz w:val="24"/>
          <w:szCs w:val="24"/>
        </w:rPr>
        <w:t xml:space="preserve"> are at an even greater disadvantage, which is unsurprising. Prior to the epidemic, many transgender adults lived in poverty or </w:t>
      </w:r>
      <w:r>
        <w:rPr>
          <w:b/>
          <w:sz w:val="24"/>
          <w:szCs w:val="24"/>
        </w:rPr>
        <w:t>even with their parents at home, which is unusual</w:t>
      </w:r>
      <w:r>
        <w:rPr>
          <w:sz w:val="24"/>
          <w:szCs w:val="24"/>
        </w:rPr>
        <w:t xml:space="preserve"> in countries like Luxembourg. One of the attendees, a black queer woman, stated that black </w:t>
      </w:r>
      <w:r>
        <w:rPr>
          <w:b/>
          <w:sz w:val="24"/>
          <w:szCs w:val="24"/>
        </w:rPr>
        <w:t>LGBTQI people, particularly trans people, endure the most persecution</w:t>
      </w:r>
      <w:r>
        <w:rPr>
          <w:sz w:val="24"/>
          <w:szCs w:val="24"/>
        </w:rPr>
        <w:t xml:space="preserve">. After losing their jobs following the spring lockdown of 2020, trans and nonbinary workers must cope with the </w:t>
      </w:r>
      <w:r>
        <w:rPr>
          <w:b/>
          <w:sz w:val="24"/>
          <w:szCs w:val="24"/>
        </w:rPr>
        <w:t>discrimination that comes with the job application</w:t>
      </w:r>
      <w:r>
        <w:rPr>
          <w:sz w:val="24"/>
          <w:szCs w:val="24"/>
        </w:rPr>
        <w:t xml:space="preserve"> process, which half of the participants have been dealing with since losing their jobs.</w:t>
      </w:r>
    </w:p>
    <w:p w14:paraId="732F788D" w14:textId="77777777" w:rsidR="00DE64A6" w:rsidRDefault="00DE64A6">
      <w:pPr>
        <w:spacing w:after="0" w:line="360" w:lineRule="auto"/>
        <w:jc w:val="both"/>
        <w:rPr>
          <w:sz w:val="24"/>
          <w:szCs w:val="24"/>
        </w:rPr>
      </w:pPr>
    </w:p>
    <w:p w14:paraId="7F309C80" w14:textId="77777777" w:rsidR="00DE64A6" w:rsidRDefault="00000000">
      <w:pPr>
        <w:spacing w:after="0" w:line="360" w:lineRule="auto"/>
        <w:jc w:val="both"/>
        <w:rPr>
          <w:sz w:val="24"/>
          <w:szCs w:val="24"/>
        </w:rPr>
      </w:pPr>
      <w:r>
        <w:rPr>
          <w:sz w:val="24"/>
          <w:szCs w:val="24"/>
        </w:rPr>
        <w:t xml:space="preserve">In the interviews, a queer white man stated that they have been applying for employment since the winter shutdown of 2020, and that their past work experience includes </w:t>
      </w:r>
      <w:r>
        <w:rPr>
          <w:b/>
          <w:sz w:val="24"/>
          <w:szCs w:val="24"/>
        </w:rPr>
        <w:t>working in a pub, a retail store, and a supermarket.</w:t>
      </w:r>
      <w:r>
        <w:rPr>
          <w:sz w:val="24"/>
          <w:szCs w:val="24"/>
        </w:rPr>
        <w:t xml:space="preserve"> It is not unusual for them to </w:t>
      </w:r>
      <w:r>
        <w:rPr>
          <w:b/>
          <w:sz w:val="24"/>
          <w:szCs w:val="24"/>
        </w:rPr>
        <w:t>receive no response to an application</w:t>
      </w:r>
      <w:r>
        <w:rPr>
          <w:sz w:val="24"/>
          <w:szCs w:val="24"/>
        </w:rPr>
        <w:t>, despite the fact that Luxembourg is perceived to be much more receptive than other countries, particularly in urban regions.</w:t>
      </w:r>
    </w:p>
    <w:p w14:paraId="06F0CE45" w14:textId="77777777" w:rsidR="00DE64A6" w:rsidRDefault="00DE64A6">
      <w:pPr>
        <w:spacing w:after="0" w:line="360" w:lineRule="auto"/>
        <w:jc w:val="both"/>
        <w:rPr>
          <w:sz w:val="24"/>
          <w:szCs w:val="24"/>
        </w:rPr>
      </w:pPr>
    </w:p>
    <w:p w14:paraId="5F25D29B" w14:textId="77777777" w:rsidR="00DE64A6" w:rsidRDefault="00000000">
      <w:pPr>
        <w:spacing w:after="0" w:line="360" w:lineRule="auto"/>
        <w:jc w:val="both"/>
        <w:rPr>
          <w:sz w:val="24"/>
          <w:szCs w:val="24"/>
        </w:rPr>
      </w:pPr>
      <w:r>
        <w:rPr>
          <w:sz w:val="24"/>
          <w:szCs w:val="24"/>
        </w:rPr>
        <w:t xml:space="preserve">A white homosexual woman stated that a </w:t>
      </w:r>
      <w:r>
        <w:rPr>
          <w:b/>
          <w:sz w:val="24"/>
          <w:szCs w:val="24"/>
        </w:rPr>
        <w:t>human-rights approach to pandemic response is required</w:t>
      </w:r>
      <w:r>
        <w:rPr>
          <w:sz w:val="24"/>
          <w:szCs w:val="24"/>
        </w:rPr>
        <w:t xml:space="preserve">. </w:t>
      </w:r>
    </w:p>
    <w:p w14:paraId="490D5E39" w14:textId="77777777" w:rsidR="00DE64A6" w:rsidRDefault="00000000">
      <w:pPr>
        <w:spacing w:after="0" w:line="360" w:lineRule="auto"/>
        <w:jc w:val="both"/>
        <w:rPr>
          <w:sz w:val="24"/>
          <w:szCs w:val="24"/>
        </w:rPr>
      </w:pPr>
      <w:r>
        <w:rPr>
          <w:sz w:val="24"/>
          <w:szCs w:val="24"/>
        </w:rPr>
        <w:t xml:space="preserve">She also highlighted that authorities can employ COVID-19 methods to </w:t>
      </w:r>
      <w:r>
        <w:rPr>
          <w:b/>
          <w:sz w:val="24"/>
          <w:szCs w:val="24"/>
        </w:rPr>
        <w:t>target or intimidate people based on their sexual orientation or gender identity</w:t>
      </w:r>
      <w:r>
        <w:rPr>
          <w:sz w:val="24"/>
          <w:szCs w:val="24"/>
        </w:rPr>
        <w:t xml:space="preserve">. She cited instances where authorities used the pandemic to </w:t>
      </w:r>
      <w:r>
        <w:rPr>
          <w:b/>
          <w:sz w:val="24"/>
          <w:szCs w:val="24"/>
        </w:rPr>
        <w:t>justify stripping people of their right to hold a public gathering</w:t>
      </w:r>
      <w:r>
        <w:rPr>
          <w:sz w:val="24"/>
          <w:szCs w:val="24"/>
        </w:rPr>
        <w:t>, yet it was still allowed in cases where LGBTQI was not present.</w:t>
      </w:r>
    </w:p>
    <w:p w14:paraId="20E48959" w14:textId="77777777" w:rsidR="00DE64A6" w:rsidRDefault="00DE64A6">
      <w:pPr>
        <w:spacing w:after="0" w:line="360" w:lineRule="auto"/>
        <w:jc w:val="both"/>
        <w:rPr>
          <w:sz w:val="24"/>
          <w:szCs w:val="24"/>
        </w:rPr>
      </w:pPr>
    </w:p>
    <w:p w14:paraId="7A75F099" w14:textId="77777777" w:rsidR="00DE64A6" w:rsidRDefault="00000000">
      <w:pPr>
        <w:spacing w:after="0" w:line="360" w:lineRule="auto"/>
        <w:jc w:val="both"/>
        <w:rPr>
          <w:sz w:val="24"/>
          <w:szCs w:val="24"/>
        </w:rPr>
      </w:pPr>
      <w:r>
        <w:rPr>
          <w:sz w:val="24"/>
          <w:szCs w:val="24"/>
        </w:rPr>
        <w:t xml:space="preserve">The service providers also cited a </w:t>
      </w:r>
      <w:r>
        <w:rPr>
          <w:b/>
          <w:sz w:val="24"/>
          <w:szCs w:val="24"/>
        </w:rPr>
        <w:t>lack of access to legislators, legal authorities, and advocacy possibilities</w:t>
      </w:r>
      <w:r>
        <w:rPr>
          <w:sz w:val="24"/>
          <w:szCs w:val="24"/>
        </w:rPr>
        <w:t xml:space="preserve"> across the board, and decried a cycle in which LGBT people were unable to meet their basic requirements. Concerns deemed to be </w:t>
      </w:r>
      <w:r>
        <w:rPr>
          <w:b/>
          <w:sz w:val="24"/>
          <w:szCs w:val="24"/>
        </w:rPr>
        <w:t>LGBTQI issues were not considered a priority</w:t>
      </w:r>
      <w:r>
        <w:rPr>
          <w:sz w:val="24"/>
          <w:szCs w:val="24"/>
        </w:rPr>
        <w:t xml:space="preserve"> at the time, according to a young gay male.</w:t>
      </w:r>
    </w:p>
    <w:p w14:paraId="199C128C" w14:textId="77777777" w:rsidR="00DE64A6" w:rsidRDefault="00DE64A6">
      <w:pPr>
        <w:spacing w:after="0" w:line="360" w:lineRule="auto"/>
        <w:jc w:val="both"/>
        <w:rPr>
          <w:sz w:val="24"/>
          <w:szCs w:val="24"/>
        </w:rPr>
      </w:pPr>
    </w:p>
    <w:p w14:paraId="13804D2B" w14:textId="77777777" w:rsidR="00DE64A6" w:rsidRDefault="00000000">
      <w:pPr>
        <w:spacing w:after="0" w:line="360" w:lineRule="auto"/>
        <w:jc w:val="both"/>
        <w:rPr>
          <w:sz w:val="24"/>
          <w:szCs w:val="24"/>
        </w:rPr>
      </w:pPr>
      <w:r>
        <w:rPr>
          <w:sz w:val="24"/>
          <w:szCs w:val="24"/>
        </w:rPr>
        <w:t xml:space="preserve">Another issue raised in the interviews was that </w:t>
      </w:r>
      <w:r>
        <w:rPr>
          <w:b/>
          <w:sz w:val="24"/>
          <w:szCs w:val="24"/>
        </w:rPr>
        <w:t xml:space="preserve">NGOs and helplines that focus on or aid LGBTQI people rely on donations that have been decreasing </w:t>
      </w:r>
      <w:r>
        <w:rPr>
          <w:sz w:val="24"/>
          <w:szCs w:val="24"/>
        </w:rPr>
        <w:t xml:space="preserve">over time. Many civil society organizations have </w:t>
      </w:r>
      <w:r>
        <w:rPr>
          <w:sz w:val="24"/>
          <w:szCs w:val="24"/>
        </w:rPr>
        <w:lastRenderedPageBreak/>
        <w:t xml:space="preserve">seen their </w:t>
      </w:r>
      <w:r>
        <w:rPr>
          <w:b/>
          <w:sz w:val="24"/>
          <w:szCs w:val="24"/>
        </w:rPr>
        <w:t>funding sources significantly decreased</w:t>
      </w:r>
      <w:r>
        <w:rPr>
          <w:sz w:val="24"/>
          <w:szCs w:val="24"/>
        </w:rPr>
        <w:t xml:space="preserve"> or suspended in a short period of time, while others have </w:t>
      </w:r>
      <w:r>
        <w:rPr>
          <w:b/>
          <w:sz w:val="24"/>
          <w:szCs w:val="24"/>
        </w:rPr>
        <w:t>warned beneficiaries of budget cuts</w:t>
      </w:r>
      <w:r>
        <w:rPr>
          <w:sz w:val="24"/>
          <w:szCs w:val="24"/>
        </w:rPr>
        <w:t xml:space="preserve"> and diminished resources.</w:t>
      </w:r>
    </w:p>
    <w:p w14:paraId="3C1D28F6" w14:textId="77777777" w:rsidR="00DE64A6" w:rsidRDefault="00DE64A6">
      <w:pPr>
        <w:spacing w:after="0" w:line="360" w:lineRule="auto"/>
        <w:jc w:val="both"/>
        <w:rPr>
          <w:sz w:val="24"/>
          <w:szCs w:val="24"/>
        </w:rPr>
      </w:pPr>
    </w:p>
    <w:p w14:paraId="45B94400" w14:textId="77777777" w:rsidR="00DE64A6" w:rsidRDefault="00000000">
      <w:pPr>
        <w:spacing w:after="0" w:line="360" w:lineRule="auto"/>
        <w:jc w:val="both"/>
        <w:rPr>
          <w:sz w:val="24"/>
          <w:szCs w:val="24"/>
        </w:rPr>
      </w:pPr>
      <w:r>
        <w:rPr>
          <w:sz w:val="24"/>
          <w:szCs w:val="24"/>
        </w:rPr>
        <w:t xml:space="preserve">Transitioning to online meeting models, developing effective solidarity networks, enhancing monitoring and reporting systems, and deploying awareness campaigns, all </w:t>
      </w:r>
      <w:r>
        <w:rPr>
          <w:b/>
          <w:sz w:val="24"/>
          <w:szCs w:val="24"/>
        </w:rPr>
        <w:t>online, has proven to be one of the most beneficial tactics</w:t>
      </w:r>
      <w:r>
        <w:rPr>
          <w:sz w:val="24"/>
          <w:szCs w:val="24"/>
        </w:rPr>
        <w:t xml:space="preserve"> for the </w:t>
      </w:r>
      <w:r>
        <w:rPr>
          <w:b/>
          <w:sz w:val="24"/>
          <w:szCs w:val="24"/>
        </w:rPr>
        <w:t xml:space="preserve">LGBTQI </w:t>
      </w:r>
      <w:r>
        <w:rPr>
          <w:sz w:val="24"/>
          <w:szCs w:val="24"/>
        </w:rPr>
        <w:t>civil society.</w:t>
      </w:r>
    </w:p>
    <w:p w14:paraId="6F729DA5" w14:textId="77777777" w:rsidR="00DE64A6" w:rsidRDefault="00DE64A6">
      <w:pPr>
        <w:spacing w:after="0" w:line="360" w:lineRule="auto"/>
        <w:jc w:val="both"/>
        <w:rPr>
          <w:sz w:val="24"/>
          <w:szCs w:val="24"/>
        </w:rPr>
      </w:pPr>
    </w:p>
    <w:p w14:paraId="1B16C77E" w14:textId="77777777" w:rsidR="00DE64A6" w:rsidRDefault="00000000">
      <w:pPr>
        <w:spacing w:after="0" w:line="360" w:lineRule="auto"/>
        <w:jc w:val="both"/>
        <w:rPr>
          <w:sz w:val="24"/>
          <w:szCs w:val="24"/>
        </w:rPr>
      </w:pPr>
      <w:r>
        <w:rPr>
          <w:sz w:val="24"/>
          <w:szCs w:val="24"/>
        </w:rPr>
        <w:t xml:space="preserve">As a result, we gathered the measures that participants believe are most needed in terms of state and government: participants' feedback concluded that there must always be a </w:t>
      </w:r>
      <w:r>
        <w:rPr>
          <w:b/>
          <w:sz w:val="24"/>
          <w:szCs w:val="24"/>
        </w:rPr>
        <w:t>political decision to acknowledge and embrace diversity</w:t>
      </w:r>
      <w:r>
        <w:rPr>
          <w:sz w:val="24"/>
          <w:szCs w:val="24"/>
        </w:rPr>
        <w:t xml:space="preserve"> in sexual orientation and gender identity, as well as the </w:t>
      </w:r>
      <w:r>
        <w:rPr>
          <w:b/>
          <w:sz w:val="24"/>
          <w:szCs w:val="24"/>
        </w:rPr>
        <w:t>adoption of determined measures to deconstruct prejudice/bias/stereotypes</w:t>
      </w:r>
      <w:r>
        <w:rPr>
          <w:sz w:val="24"/>
          <w:szCs w:val="24"/>
        </w:rPr>
        <w:t xml:space="preserve">. Another need assessment is that </w:t>
      </w:r>
      <w:r>
        <w:rPr>
          <w:b/>
          <w:sz w:val="24"/>
          <w:szCs w:val="24"/>
        </w:rPr>
        <w:t>governments do not always recognize the existence of LGBTQI stigma</w:t>
      </w:r>
      <w:r>
        <w:rPr>
          <w:sz w:val="24"/>
          <w:szCs w:val="24"/>
        </w:rPr>
        <w:t xml:space="preserve"> and prejudice, resulting in a </w:t>
      </w:r>
      <w:r>
        <w:rPr>
          <w:b/>
          <w:sz w:val="24"/>
          <w:szCs w:val="24"/>
        </w:rPr>
        <w:t>lack of visibility given to LGBTQI lives in public policy</w:t>
      </w:r>
      <w:r>
        <w:rPr>
          <w:sz w:val="24"/>
          <w:szCs w:val="24"/>
        </w:rPr>
        <w:t>: the government must first acknowledge that their sexual orientation and gender identity are reasons for violence and discrimination, as well as determinants of vulnerability.</w:t>
      </w:r>
    </w:p>
    <w:p w14:paraId="53EFECB0" w14:textId="77777777" w:rsidR="00DE64A6" w:rsidRDefault="00000000">
      <w:pPr>
        <w:spacing w:after="0" w:line="360" w:lineRule="auto"/>
        <w:jc w:val="both"/>
        <w:rPr>
          <w:sz w:val="24"/>
          <w:szCs w:val="24"/>
        </w:rPr>
      </w:pPr>
      <w:r>
        <w:rPr>
          <w:sz w:val="24"/>
          <w:szCs w:val="24"/>
        </w:rPr>
        <w:t xml:space="preserve">A non-native queer young man proposed that NGOs, CSOs, or the </w:t>
      </w:r>
      <w:r>
        <w:rPr>
          <w:b/>
          <w:sz w:val="24"/>
          <w:szCs w:val="24"/>
        </w:rPr>
        <w:t>government publish instructions on the various economic support programs</w:t>
      </w:r>
      <w:r>
        <w:rPr>
          <w:sz w:val="24"/>
          <w:szCs w:val="24"/>
        </w:rPr>
        <w:t xml:space="preserve"> accessible to LGBT people, such as shelter, health, and emotional support, in the form of a pamphlet or guide.</w:t>
      </w:r>
    </w:p>
    <w:p w14:paraId="3657F374" w14:textId="77777777" w:rsidR="00DE64A6" w:rsidRDefault="00000000">
      <w:pPr>
        <w:spacing w:after="0" w:line="360" w:lineRule="auto"/>
        <w:jc w:val="both"/>
        <w:rPr>
          <w:sz w:val="24"/>
          <w:szCs w:val="24"/>
        </w:rPr>
      </w:pPr>
      <w:r>
        <w:rPr>
          <w:sz w:val="24"/>
          <w:szCs w:val="24"/>
        </w:rPr>
        <w:br/>
      </w:r>
      <w:r>
        <w:rPr>
          <w:sz w:val="24"/>
          <w:szCs w:val="24"/>
        </w:rPr>
        <w:br/>
      </w:r>
    </w:p>
    <w:p w14:paraId="672388F9" w14:textId="77777777" w:rsidR="00DE64A6" w:rsidRDefault="00000000">
      <w:pPr>
        <w:rPr>
          <w:b/>
          <w:sz w:val="24"/>
          <w:szCs w:val="24"/>
        </w:rPr>
      </w:pPr>
      <w:r>
        <w:br w:type="page"/>
      </w:r>
    </w:p>
    <w:p w14:paraId="594A9E82" w14:textId="77777777" w:rsidR="00DE64A6" w:rsidRDefault="00000000">
      <w:pPr>
        <w:spacing w:after="0" w:line="360" w:lineRule="auto"/>
        <w:jc w:val="both"/>
        <w:rPr>
          <w:b/>
          <w:sz w:val="24"/>
          <w:szCs w:val="24"/>
        </w:rPr>
      </w:pPr>
      <w:r>
        <w:rPr>
          <w:b/>
          <w:sz w:val="24"/>
          <w:szCs w:val="24"/>
        </w:rPr>
        <w:lastRenderedPageBreak/>
        <w:t>3. Summary analysis of online research (</w:t>
      </w:r>
      <w:r>
        <w:rPr>
          <w:b/>
          <w:color w:val="000000"/>
          <w:sz w:val="24"/>
          <w:szCs w:val="24"/>
        </w:rPr>
        <w:t xml:space="preserve">approx. </w:t>
      </w:r>
      <w:r>
        <w:rPr>
          <w:b/>
          <w:sz w:val="24"/>
          <w:szCs w:val="24"/>
        </w:rPr>
        <w:t>1000 words)</w:t>
      </w:r>
    </w:p>
    <w:p w14:paraId="1EAFCA34" w14:textId="77777777" w:rsidR="00DE64A6" w:rsidRDefault="00000000">
      <w:pPr>
        <w:spacing w:after="0" w:line="360" w:lineRule="auto"/>
        <w:jc w:val="both"/>
        <w:rPr>
          <w:b/>
          <w:sz w:val="24"/>
          <w:szCs w:val="24"/>
        </w:rPr>
      </w:pPr>
      <w:bookmarkStart w:id="5" w:name="_heading=h.3as4poj" w:colFirst="0" w:colLast="0"/>
      <w:bookmarkEnd w:id="5"/>
      <w:r>
        <w:rPr>
          <w:b/>
          <w:sz w:val="24"/>
          <w:szCs w:val="24"/>
          <w:u w:val="single"/>
        </w:rPr>
        <w:t>Part C: General conclusions – comparative analysis between desk and field research findings (</w:t>
      </w:r>
      <w:r>
        <w:rPr>
          <w:b/>
          <w:color w:val="000000"/>
          <w:sz w:val="24"/>
          <w:szCs w:val="24"/>
        </w:rPr>
        <w:t xml:space="preserve">approx. </w:t>
      </w:r>
      <w:r>
        <w:rPr>
          <w:b/>
          <w:sz w:val="24"/>
          <w:szCs w:val="24"/>
        </w:rPr>
        <w:t xml:space="preserve">500 words) </w:t>
      </w:r>
    </w:p>
    <w:p w14:paraId="58ECF2B9" w14:textId="77777777" w:rsidR="00DE64A6" w:rsidRDefault="00DE64A6">
      <w:pPr>
        <w:spacing w:after="0" w:line="360" w:lineRule="auto"/>
        <w:jc w:val="both"/>
        <w:rPr>
          <w:sz w:val="22"/>
          <w:szCs w:val="22"/>
        </w:rPr>
      </w:pPr>
    </w:p>
    <w:p w14:paraId="15288823" w14:textId="77777777" w:rsidR="00DE64A6" w:rsidRDefault="00000000">
      <w:pPr>
        <w:spacing w:after="0" w:line="360" w:lineRule="auto"/>
        <w:jc w:val="both"/>
        <w:rPr>
          <w:sz w:val="22"/>
          <w:szCs w:val="22"/>
        </w:rPr>
      </w:pPr>
      <w:r>
        <w:rPr>
          <w:sz w:val="22"/>
          <w:szCs w:val="22"/>
        </w:rPr>
        <w:t>In total only 40 participants answered the questionnaire, 15 were providers and 25 were receivers.</w:t>
      </w:r>
    </w:p>
    <w:p w14:paraId="4EFB73E4" w14:textId="77777777" w:rsidR="00DE64A6" w:rsidRDefault="00000000">
      <w:pPr>
        <w:spacing w:after="0" w:line="360" w:lineRule="auto"/>
        <w:jc w:val="both"/>
        <w:rPr>
          <w:sz w:val="22"/>
          <w:szCs w:val="22"/>
        </w:rPr>
      </w:pPr>
      <w:r>
        <w:rPr>
          <w:sz w:val="22"/>
          <w:szCs w:val="22"/>
        </w:rPr>
        <w:t xml:space="preserve">The age groups were as follows: 4 of age 16-19 (10%), 14 of age 20-29 (35%), 16 of 30-39 (40%) and 6 of 40-49 (15%). </w:t>
      </w:r>
    </w:p>
    <w:p w14:paraId="1F99CF1E" w14:textId="77777777" w:rsidR="00DE64A6" w:rsidRDefault="00000000">
      <w:pPr>
        <w:spacing w:after="0" w:line="360" w:lineRule="auto"/>
        <w:jc w:val="both"/>
        <w:rPr>
          <w:sz w:val="22"/>
          <w:szCs w:val="22"/>
        </w:rPr>
      </w:pPr>
      <w:r>
        <w:rPr>
          <w:sz w:val="22"/>
          <w:szCs w:val="22"/>
        </w:rPr>
        <w:t xml:space="preserve">The gender identities were 12 Men, 21 women, 2 trans men, 1 trans woman, 5 non binary, and 7 did not want to acknowledge their gender. 15 were straight, 13 were gay/lesbian, 6 were bi, 4 were something else, and 5 did not want to disclose that information. 37.5% were straight, 32.5% were homosexual, 15% something else, 5% did not want to answer. </w:t>
      </w:r>
    </w:p>
    <w:p w14:paraId="6AAB6AD7" w14:textId="77777777" w:rsidR="00DE64A6" w:rsidRDefault="00000000">
      <w:pPr>
        <w:spacing w:after="0" w:line="360" w:lineRule="auto"/>
        <w:jc w:val="both"/>
        <w:rPr>
          <w:sz w:val="22"/>
          <w:szCs w:val="22"/>
        </w:rPr>
      </w:pPr>
      <w:r>
        <w:rPr>
          <w:sz w:val="22"/>
          <w:szCs w:val="22"/>
        </w:rPr>
        <w:t xml:space="preserve">The majority of the respondents (75%) were of 20 to 39 years old, and this was no accident because we were particularly interested in an already existent problem in the youth: unemployment and mental health challenges. </w:t>
      </w:r>
    </w:p>
    <w:p w14:paraId="4D2EBC1B" w14:textId="77777777" w:rsidR="00DE64A6" w:rsidRDefault="00DE64A6">
      <w:pPr>
        <w:spacing w:after="0" w:line="360" w:lineRule="auto"/>
        <w:jc w:val="both"/>
        <w:rPr>
          <w:sz w:val="22"/>
          <w:szCs w:val="22"/>
        </w:rPr>
      </w:pPr>
    </w:p>
    <w:p w14:paraId="14F33745" w14:textId="77777777" w:rsidR="00DE64A6" w:rsidRDefault="00000000">
      <w:pPr>
        <w:spacing w:after="0" w:line="360" w:lineRule="auto"/>
        <w:jc w:val="both"/>
        <w:rPr>
          <w:sz w:val="22"/>
          <w:szCs w:val="22"/>
        </w:rPr>
      </w:pPr>
      <w:r>
        <w:rPr>
          <w:sz w:val="22"/>
          <w:szCs w:val="22"/>
        </w:rPr>
        <w:t>Experiences of LGBTQI</w:t>
      </w:r>
    </w:p>
    <w:p w14:paraId="519C1547" w14:textId="77777777" w:rsidR="00DE64A6" w:rsidRDefault="00000000">
      <w:pPr>
        <w:spacing w:after="0" w:line="360" w:lineRule="auto"/>
        <w:jc w:val="both"/>
        <w:rPr>
          <w:sz w:val="22"/>
          <w:szCs w:val="22"/>
        </w:rPr>
      </w:pPr>
      <w:r>
        <w:rPr>
          <w:sz w:val="22"/>
          <w:szCs w:val="22"/>
        </w:rPr>
        <w:t>The first questions asked how they scored on scientific scales for stress and depression. The average score was 8.7. The overall can be up to 16 and over 10 represents a lot of distress. Therefore the Luxembourg LGBTQI are very much distressed with covid19. It should be noted that the results were collected in the heart of the lockdown in 2021 and before the relaxation of the summer.</w:t>
      </w:r>
    </w:p>
    <w:p w14:paraId="6BE91C02" w14:textId="77777777" w:rsidR="00DE64A6" w:rsidRDefault="00000000">
      <w:pPr>
        <w:spacing w:after="0" w:line="360" w:lineRule="auto"/>
        <w:jc w:val="both"/>
        <w:rPr>
          <w:b/>
          <w:sz w:val="24"/>
          <w:szCs w:val="24"/>
        </w:rPr>
      </w:pPr>
      <w:r>
        <w:rPr>
          <w:noProof/>
        </w:rPr>
        <w:drawing>
          <wp:inline distT="0" distB="0" distL="0" distR="0" wp14:anchorId="54F83DBB" wp14:editId="52651A74">
            <wp:extent cx="4576763" cy="2562225"/>
            <wp:effectExtent l="0" t="0" r="0" b="0"/>
            <wp:docPr id="90" name="Grafiek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8E4630C" w14:textId="77777777" w:rsidR="00DE64A6" w:rsidRDefault="00DE64A6">
      <w:pPr>
        <w:spacing w:after="0" w:line="360" w:lineRule="auto"/>
        <w:jc w:val="both"/>
        <w:rPr>
          <w:b/>
          <w:sz w:val="24"/>
          <w:szCs w:val="24"/>
        </w:rPr>
      </w:pPr>
    </w:p>
    <w:p w14:paraId="1CB8B9F9" w14:textId="77777777" w:rsidR="00DE64A6" w:rsidRDefault="00DE64A6">
      <w:pPr>
        <w:spacing w:after="0" w:line="360" w:lineRule="auto"/>
        <w:jc w:val="both"/>
        <w:rPr>
          <w:b/>
          <w:sz w:val="24"/>
          <w:szCs w:val="24"/>
        </w:rPr>
      </w:pPr>
    </w:p>
    <w:p w14:paraId="75C34D89" w14:textId="77777777" w:rsidR="00DE64A6" w:rsidRDefault="00000000">
      <w:pPr>
        <w:spacing w:after="0" w:line="360" w:lineRule="auto"/>
        <w:jc w:val="both"/>
        <w:rPr>
          <w:sz w:val="22"/>
          <w:szCs w:val="22"/>
        </w:rPr>
      </w:pPr>
      <w:r>
        <w:rPr>
          <w:sz w:val="22"/>
          <w:szCs w:val="22"/>
        </w:rPr>
        <w:t xml:space="preserve">The other question was the CES-D scale and more than 10 counts as depressed. The Luxembourg scored 14.8 which means depressed. The respondents scored “trouble focusing”, “lonely” and “fearful” more than the other items. </w:t>
      </w:r>
    </w:p>
    <w:p w14:paraId="608276EE" w14:textId="77777777" w:rsidR="00DE64A6" w:rsidRDefault="00000000">
      <w:pPr>
        <w:spacing w:after="0" w:line="360" w:lineRule="auto"/>
        <w:jc w:val="both"/>
        <w:rPr>
          <w:sz w:val="22"/>
          <w:szCs w:val="22"/>
        </w:rPr>
      </w:pPr>
      <w:r>
        <w:rPr>
          <w:sz w:val="22"/>
          <w:szCs w:val="22"/>
        </w:rPr>
        <w:t xml:space="preserve">Half of the participants responded that the stress was related to the epidemic, while 67% answered that homophobia and transphobia have remained the same. </w:t>
      </w:r>
    </w:p>
    <w:p w14:paraId="0819738A" w14:textId="77777777" w:rsidR="00DE64A6" w:rsidRDefault="00DE64A6">
      <w:pPr>
        <w:spacing w:after="0" w:line="360" w:lineRule="auto"/>
        <w:jc w:val="both"/>
        <w:rPr>
          <w:sz w:val="22"/>
          <w:szCs w:val="22"/>
        </w:rPr>
      </w:pPr>
    </w:p>
    <w:p w14:paraId="537217E6" w14:textId="77777777" w:rsidR="00DE64A6" w:rsidRDefault="00000000">
      <w:pPr>
        <w:spacing w:after="0" w:line="360" w:lineRule="auto"/>
        <w:jc w:val="both"/>
        <w:rPr>
          <w:sz w:val="22"/>
          <w:szCs w:val="22"/>
        </w:rPr>
      </w:pPr>
      <w:r>
        <w:rPr>
          <w:sz w:val="22"/>
          <w:szCs w:val="22"/>
        </w:rPr>
        <w:t xml:space="preserve">Moreover, less than half (42%) of the respondents felt that they were supported during the epidemic, while an alarming 46% answered that they feared physical attacks, 46% felt that they saw people acting uncomfortably around them, and 42% made slurs/jokes. </w:t>
      </w:r>
    </w:p>
    <w:p w14:paraId="5B0BB72F" w14:textId="77777777" w:rsidR="00DE64A6" w:rsidRDefault="00DE64A6">
      <w:pPr>
        <w:spacing w:after="0" w:line="360" w:lineRule="auto"/>
        <w:jc w:val="both"/>
        <w:rPr>
          <w:sz w:val="22"/>
          <w:szCs w:val="22"/>
        </w:rPr>
      </w:pPr>
    </w:p>
    <w:p w14:paraId="6B7F5DBD" w14:textId="77777777" w:rsidR="00DE64A6" w:rsidRDefault="00000000">
      <w:pPr>
        <w:spacing w:after="0" w:line="360" w:lineRule="auto"/>
        <w:jc w:val="both"/>
        <w:rPr>
          <w:b/>
          <w:sz w:val="24"/>
          <w:szCs w:val="24"/>
        </w:rPr>
      </w:pPr>
      <w:r>
        <w:rPr>
          <w:noProof/>
        </w:rPr>
        <w:drawing>
          <wp:inline distT="0" distB="0" distL="0" distR="0" wp14:anchorId="0BB4C716" wp14:editId="31463C88">
            <wp:extent cx="4572000" cy="2743200"/>
            <wp:effectExtent l="0" t="0" r="0" b="0"/>
            <wp:docPr id="89" name="Grafiek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03C096F" w14:textId="77777777" w:rsidR="00DE64A6" w:rsidRDefault="00DE64A6">
      <w:pPr>
        <w:spacing w:after="0" w:line="360" w:lineRule="auto"/>
        <w:jc w:val="both"/>
        <w:rPr>
          <w:sz w:val="22"/>
          <w:szCs w:val="22"/>
        </w:rPr>
      </w:pPr>
    </w:p>
    <w:p w14:paraId="6A429ED8" w14:textId="77777777" w:rsidR="00DE64A6" w:rsidRDefault="00000000">
      <w:pPr>
        <w:spacing w:after="0" w:line="360" w:lineRule="auto"/>
        <w:jc w:val="both"/>
        <w:rPr>
          <w:sz w:val="22"/>
          <w:szCs w:val="22"/>
        </w:rPr>
      </w:pPr>
      <w:r>
        <w:rPr>
          <w:sz w:val="22"/>
          <w:szCs w:val="22"/>
        </w:rPr>
        <w:t>About half of the respondents sought support service (43%) during covid, the 26% did not, and an alarming 30% does not know.</w:t>
      </w:r>
    </w:p>
    <w:p w14:paraId="18D4B52A" w14:textId="77777777" w:rsidR="00DE64A6" w:rsidRDefault="00DE64A6">
      <w:pPr>
        <w:spacing w:after="0" w:line="360" w:lineRule="auto"/>
        <w:jc w:val="both"/>
        <w:rPr>
          <w:sz w:val="22"/>
          <w:szCs w:val="22"/>
        </w:rPr>
      </w:pPr>
    </w:p>
    <w:p w14:paraId="3336C6EE" w14:textId="77777777" w:rsidR="00DE64A6" w:rsidRDefault="00DE64A6">
      <w:pPr>
        <w:spacing w:after="0" w:line="360" w:lineRule="auto"/>
        <w:jc w:val="both"/>
        <w:rPr>
          <w:sz w:val="22"/>
          <w:szCs w:val="22"/>
        </w:rPr>
      </w:pPr>
    </w:p>
    <w:p w14:paraId="577A548D" w14:textId="77777777" w:rsidR="00DE64A6" w:rsidRDefault="00000000">
      <w:pPr>
        <w:spacing w:after="0" w:line="360" w:lineRule="auto"/>
        <w:jc w:val="both"/>
        <w:rPr>
          <w:sz w:val="22"/>
          <w:szCs w:val="22"/>
        </w:rPr>
      </w:pPr>
      <w:r>
        <w:rPr>
          <w:sz w:val="22"/>
          <w:szCs w:val="22"/>
        </w:rPr>
        <w:t xml:space="preserve">Regarding the affected services, the most affected areas were, employment 75%, mental health services (75%), and physical health services (75%). Followed by education (46%), career </w:t>
      </w:r>
      <w:proofErr w:type="spellStart"/>
      <w:r>
        <w:rPr>
          <w:sz w:val="22"/>
          <w:szCs w:val="22"/>
        </w:rPr>
        <w:t>counseling</w:t>
      </w:r>
      <w:proofErr w:type="spellEnd"/>
      <w:r>
        <w:rPr>
          <w:sz w:val="22"/>
          <w:szCs w:val="22"/>
        </w:rPr>
        <w:t xml:space="preserve"> (42%), anti-discrimination support (42%).</w:t>
      </w:r>
    </w:p>
    <w:p w14:paraId="0B0A98FE" w14:textId="77777777" w:rsidR="00DE64A6" w:rsidRDefault="00000000">
      <w:pPr>
        <w:spacing w:after="0" w:line="360" w:lineRule="auto"/>
        <w:jc w:val="both"/>
        <w:rPr>
          <w:sz w:val="22"/>
          <w:szCs w:val="22"/>
        </w:rPr>
      </w:pPr>
      <w:r>
        <w:rPr>
          <w:noProof/>
        </w:rPr>
        <w:lastRenderedPageBreak/>
        <w:drawing>
          <wp:inline distT="0" distB="0" distL="0" distR="0" wp14:anchorId="6E8D0751" wp14:editId="335EAD6E">
            <wp:extent cx="5805488" cy="2743200"/>
            <wp:effectExtent l="0" t="0" r="0" b="0"/>
            <wp:docPr id="92" name="Grafiek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09BEDBD" w14:textId="77777777" w:rsidR="00DE64A6" w:rsidRDefault="00DE64A6">
      <w:pPr>
        <w:spacing w:after="0" w:line="360" w:lineRule="auto"/>
        <w:jc w:val="both"/>
        <w:rPr>
          <w:sz w:val="22"/>
          <w:szCs w:val="22"/>
        </w:rPr>
      </w:pPr>
    </w:p>
    <w:p w14:paraId="68FC3E9B" w14:textId="77777777" w:rsidR="00DE64A6" w:rsidRDefault="00000000">
      <w:pPr>
        <w:spacing w:after="0" w:line="360" w:lineRule="auto"/>
        <w:jc w:val="both"/>
        <w:rPr>
          <w:sz w:val="22"/>
          <w:szCs w:val="22"/>
        </w:rPr>
      </w:pPr>
      <w:r>
        <w:rPr>
          <w:sz w:val="22"/>
          <w:szCs w:val="22"/>
        </w:rPr>
        <w:t>Needs of providers:</w:t>
      </w:r>
    </w:p>
    <w:p w14:paraId="2FFA9D12" w14:textId="77777777" w:rsidR="00DE64A6" w:rsidRDefault="00000000">
      <w:pPr>
        <w:spacing w:after="0" w:line="360" w:lineRule="auto"/>
        <w:jc w:val="both"/>
        <w:rPr>
          <w:sz w:val="22"/>
          <w:szCs w:val="22"/>
        </w:rPr>
      </w:pPr>
      <w:r>
        <w:rPr>
          <w:sz w:val="22"/>
          <w:szCs w:val="22"/>
        </w:rPr>
        <w:t xml:space="preserve">15 out of 16 providers have provided services to the LGBTQI+ target group during the epidemic. 94% had to offer their services online. 73% found it challenging, and 20% did not. </w:t>
      </w:r>
    </w:p>
    <w:p w14:paraId="3C68906F" w14:textId="77777777" w:rsidR="00DE64A6" w:rsidRDefault="00000000">
      <w:pPr>
        <w:spacing w:after="0" w:line="360" w:lineRule="auto"/>
        <w:jc w:val="both"/>
        <w:rPr>
          <w:sz w:val="22"/>
          <w:szCs w:val="22"/>
        </w:rPr>
      </w:pPr>
      <w:r>
        <w:rPr>
          <w:sz w:val="22"/>
          <w:szCs w:val="22"/>
        </w:rPr>
        <w:t xml:space="preserve">The 50% of the providers mentioned that they may need different or additional support during the epidemic, compared with non LGBTQI+ people, while 13% disagreed. </w:t>
      </w:r>
    </w:p>
    <w:p w14:paraId="1279C473" w14:textId="77777777" w:rsidR="00DE64A6" w:rsidRDefault="00000000">
      <w:pPr>
        <w:spacing w:after="0" w:line="360" w:lineRule="auto"/>
        <w:jc w:val="both"/>
        <w:rPr>
          <w:sz w:val="22"/>
          <w:szCs w:val="22"/>
        </w:rPr>
      </w:pPr>
      <w:r>
        <w:rPr>
          <w:sz w:val="22"/>
          <w:szCs w:val="22"/>
        </w:rPr>
        <w:t xml:space="preserve">We also asked if providers were aware of specific challenges and only 38% mentioned not so well, 38% mentioned not sure and 25% answered well. </w:t>
      </w:r>
    </w:p>
    <w:p w14:paraId="64722640" w14:textId="77777777" w:rsidR="00DE64A6" w:rsidRDefault="00000000">
      <w:pPr>
        <w:spacing w:after="0" w:line="360" w:lineRule="auto"/>
        <w:jc w:val="both"/>
        <w:rPr>
          <w:sz w:val="22"/>
          <w:szCs w:val="22"/>
        </w:rPr>
      </w:pPr>
      <w:r>
        <w:rPr>
          <w:sz w:val="22"/>
          <w:szCs w:val="22"/>
        </w:rPr>
        <w:t>To our surprise, the 56% of the providers answered that they received some sort of training on LGBTQI, while 44% said they had not. The two conclusions are in contrast.</w:t>
      </w:r>
    </w:p>
    <w:p w14:paraId="0A32411E" w14:textId="77777777" w:rsidR="00DE64A6" w:rsidRDefault="00000000">
      <w:pPr>
        <w:spacing w:after="0" w:line="360" w:lineRule="auto"/>
        <w:jc w:val="both"/>
        <w:rPr>
          <w:sz w:val="22"/>
          <w:szCs w:val="22"/>
        </w:rPr>
      </w:pPr>
      <w:r>
        <w:rPr>
          <w:sz w:val="22"/>
          <w:szCs w:val="22"/>
        </w:rPr>
        <w:t>Half of the providers answered that they would be interested in a training, while 31% not so much.</w:t>
      </w:r>
    </w:p>
    <w:p w14:paraId="44F8C389" w14:textId="77777777" w:rsidR="00DE64A6" w:rsidRDefault="00DE64A6">
      <w:pPr>
        <w:spacing w:after="0" w:line="360" w:lineRule="auto"/>
        <w:jc w:val="both"/>
        <w:rPr>
          <w:sz w:val="22"/>
          <w:szCs w:val="22"/>
        </w:rPr>
      </w:pPr>
    </w:p>
    <w:p w14:paraId="16723BFC" w14:textId="77777777" w:rsidR="00DE64A6" w:rsidRDefault="00000000">
      <w:pPr>
        <w:spacing w:after="0" w:line="360" w:lineRule="auto"/>
        <w:jc w:val="both"/>
        <w:rPr>
          <w:sz w:val="22"/>
          <w:szCs w:val="22"/>
        </w:rPr>
      </w:pPr>
      <w:r>
        <w:rPr>
          <w:sz w:val="22"/>
          <w:szCs w:val="22"/>
        </w:rPr>
        <w:t xml:space="preserve">The highest scoring needs were: </w:t>
      </w:r>
    </w:p>
    <w:p w14:paraId="3773E486" w14:textId="77777777" w:rsidR="00DE64A6" w:rsidRDefault="00000000">
      <w:pPr>
        <w:spacing w:after="0" w:line="360" w:lineRule="auto"/>
        <w:jc w:val="both"/>
        <w:rPr>
          <w:sz w:val="22"/>
          <w:szCs w:val="22"/>
        </w:rPr>
      </w:pPr>
      <w:r>
        <w:rPr>
          <w:sz w:val="22"/>
          <w:szCs w:val="22"/>
        </w:rPr>
        <w:t>Challenges for LGBTQI (50%)</w:t>
      </w:r>
    </w:p>
    <w:p w14:paraId="7412C86F" w14:textId="77777777" w:rsidR="00DE64A6" w:rsidRDefault="00000000">
      <w:pPr>
        <w:spacing w:after="0" w:line="360" w:lineRule="auto"/>
        <w:jc w:val="both"/>
        <w:rPr>
          <w:sz w:val="22"/>
          <w:szCs w:val="22"/>
        </w:rPr>
      </w:pPr>
      <w:proofErr w:type="spellStart"/>
      <w:r>
        <w:rPr>
          <w:sz w:val="22"/>
          <w:szCs w:val="22"/>
        </w:rPr>
        <w:t>Behavioral</w:t>
      </w:r>
      <w:proofErr w:type="spellEnd"/>
      <w:r>
        <w:rPr>
          <w:sz w:val="22"/>
          <w:szCs w:val="22"/>
        </w:rPr>
        <w:t xml:space="preserve"> guidelines (50%)</w:t>
      </w:r>
    </w:p>
    <w:p w14:paraId="0FA04FC6" w14:textId="77777777" w:rsidR="00DE64A6" w:rsidRDefault="00000000">
      <w:pPr>
        <w:spacing w:after="0" w:line="360" w:lineRule="auto"/>
        <w:jc w:val="both"/>
        <w:rPr>
          <w:sz w:val="22"/>
          <w:szCs w:val="22"/>
        </w:rPr>
      </w:pPr>
      <w:r>
        <w:rPr>
          <w:sz w:val="22"/>
          <w:szCs w:val="22"/>
        </w:rPr>
        <w:t>International good practices (50%)</w:t>
      </w:r>
    </w:p>
    <w:p w14:paraId="142125BD" w14:textId="77777777" w:rsidR="00DE64A6" w:rsidRDefault="00000000">
      <w:pPr>
        <w:spacing w:after="0" w:line="360" w:lineRule="auto"/>
        <w:jc w:val="both"/>
        <w:rPr>
          <w:sz w:val="22"/>
          <w:szCs w:val="22"/>
        </w:rPr>
      </w:pPr>
      <w:r>
        <w:rPr>
          <w:sz w:val="22"/>
          <w:szCs w:val="22"/>
        </w:rPr>
        <w:t>Key concepts (43%)</w:t>
      </w:r>
    </w:p>
    <w:p w14:paraId="56B19016" w14:textId="77777777" w:rsidR="00DE64A6" w:rsidRDefault="00000000">
      <w:pPr>
        <w:spacing w:after="0" w:line="360" w:lineRule="auto"/>
        <w:jc w:val="both"/>
        <w:rPr>
          <w:sz w:val="22"/>
          <w:szCs w:val="22"/>
        </w:rPr>
      </w:pPr>
      <w:r>
        <w:rPr>
          <w:sz w:val="22"/>
          <w:szCs w:val="22"/>
        </w:rPr>
        <w:t>Legal framework (43%)</w:t>
      </w:r>
    </w:p>
    <w:p w14:paraId="74F18051" w14:textId="77777777" w:rsidR="00DE64A6" w:rsidRDefault="00000000">
      <w:pPr>
        <w:spacing w:after="0" w:line="360" w:lineRule="auto"/>
        <w:jc w:val="both"/>
        <w:rPr>
          <w:sz w:val="22"/>
          <w:szCs w:val="22"/>
        </w:rPr>
      </w:pPr>
      <w:r>
        <w:rPr>
          <w:sz w:val="22"/>
          <w:szCs w:val="22"/>
        </w:rPr>
        <w:t>Challenges working remotely (36%)</w:t>
      </w:r>
    </w:p>
    <w:p w14:paraId="6FD4ABF1" w14:textId="77777777" w:rsidR="00DE64A6" w:rsidRDefault="00DE64A6">
      <w:pPr>
        <w:spacing w:after="0" w:line="360" w:lineRule="auto"/>
        <w:jc w:val="both"/>
        <w:rPr>
          <w:sz w:val="22"/>
          <w:szCs w:val="22"/>
        </w:rPr>
      </w:pPr>
    </w:p>
    <w:p w14:paraId="4CD53AF4" w14:textId="77777777" w:rsidR="00DE64A6" w:rsidRDefault="00000000">
      <w:pPr>
        <w:spacing w:after="0" w:line="360" w:lineRule="auto"/>
        <w:jc w:val="both"/>
        <w:rPr>
          <w:sz w:val="22"/>
          <w:szCs w:val="22"/>
        </w:rPr>
      </w:pPr>
      <w:r>
        <w:rPr>
          <w:sz w:val="22"/>
          <w:szCs w:val="22"/>
        </w:rPr>
        <w:lastRenderedPageBreak/>
        <w:t>The lowest scoring needs were:</w:t>
      </w:r>
    </w:p>
    <w:p w14:paraId="2B438CF7" w14:textId="77777777" w:rsidR="00DE64A6" w:rsidRDefault="00000000">
      <w:pPr>
        <w:spacing w:after="0" w:line="360" w:lineRule="auto"/>
        <w:jc w:val="both"/>
        <w:rPr>
          <w:sz w:val="22"/>
          <w:szCs w:val="22"/>
        </w:rPr>
      </w:pPr>
      <w:r>
        <w:rPr>
          <w:sz w:val="22"/>
          <w:szCs w:val="22"/>
        </w:rPr>
        <w:t>Support services, Referrals, access for LGBTQI to online services.</w:t>
      </w:r>
    </w:p>
    <w:p w14:paraId="5983AFE7" w14:textId="77777777" w:rsidR="00DE64A6" w:rsidRDefault="00DE64A6">
      <w:pPr>
        <w:spacing w:after="0" w:line="360" w:lineRule="auto"/>
        <w:jc w:val="both"/>
        <w:rPr>
          <w:sz w:val="22"/>
          <w:szCs w:val="22"/>
        </w:rPr>
      </w:pPr>
    </w:p>
    <w:p w14:paraId="2C001865" w14:textId="77777777" w:rsidR="00DE64A6" w:rsidRDefault="00000000">
      <w:pPr>
        <w:spacing w:after="0" w:line="360" w:lineRule="auto"/>
        <w:jc w:val="both"/>
        <w:rPr>
          <w:sz w:val="22"/>
          <w:szCs w:val="22"/>
        </w:rPr>
      </w:pPr>
      <w:r>
        <w:rPr>
          <w:noProof/>
        </w:rPr>
        <w:drawing>
          <wp:inline distT="0" distB="0" distL="0" distR="0" wp14:anchorId="52302A4E" wp14:editId="1CD3C7E8">
            <wp:extent cx="6188710" cy="2576195"/>
            <wp:effectExtent l="0" t="0" r="0" b="0"/>
            <wp:docPr id="91" name="Grafiek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AB4AE9D" w14:textId="77777777" w:rsidR="00DE64A6" w:rsidRDefault="00DE64A6">
      <w:pPr>
        <w:spacing w:after="0" w:line="360" w:lineRule="auto"/>
        <w:jc w:val="both"/>
        <w:rPr>
          <w:sz w:val="22"/>
          <w:szCs w:val="22"/>
        </w:rPr>
      </w:pPr>
    </w:p>
    <w:p w14:paraId="209B814C" w14:textId="77777777" w:rsidR="00DE64A6" w:rsidRDefault="00DE64A6">
      <w:pPr>
        <w:spacing w:after="0" w:line="360" w:lineRule="auto"/>
        <w:jc w:val="both"/>
        <w:rPr>
          <w:sz w:val="22"/>
          <w:szCs w:val="22"/>
        </w:rPr>
      </w:pPr>
    </w:p>
    <w:p w14:paraId="08BC064C" w14:textId="77777777" w:rsidR="00DE64A6" w:rsidRDefault="00000000">
      <w:pPr>
        <w:pStyle w:val="Kop2"/>
      </w:pPr>
      <w:bookmarkStart w:id="6" w:name="_heading=h.1pxezwc" w:colFirst="0" w:colLast="0"/>
      <w:bookmarkEnd w:id="6"/>
      <w:r>
        <w:t>REFERENCES</w:t>
      </w:r>
    </w:p>
    <w:p w14:paraId="304A423D" w14:textId="77777777" w:rsidR="00DE64A6" w:rsidRDefault="00000000">
      <w:pPr>
        <w:spacing w:after="0" w:line="360" w:lineRule="auto"/>
        <w:jc w:val="both"/>
        <w:rPr>
          <w:rFonts w:ascii="Open Sans" w:eastAsia="Open Sans" w:hAnsi="Open Sans" w:cs="Open Sans"/>
          <w:color w:val="000000"/>
          <w:sz w:val="20"/>
          <w:szCs w:val="20"/>
          <w:highlight w:val="white"/>
        </w:rPr>
      </w:pPr>
      <w:r>
        <w:rPr>
          <w:rFonts w:ascii="Open Sans" w:eastAsia="Open Sans" w:hAnsi="Open Sans" w:cs="Open Sans"/>
          <w:i/>
          <w:color w:val="000000"/>
          <w:sz w:val="20"/>
          <w:szCs w:val="20"/>
          <w:highlight w:val="white"/>
        </w:rPr>
        <w:t>EU LGBTI survey II A long way to go for LGBTI equality</w:t>
      </w:r>
      <w:r>
        <w:rPr>
          <w:rFonts w:ascii="Open Sans" w:eastAsia="Open Sans" w:hAnsi="Open Sans" w:cs="Open Sans"/>
          <w:color w:val="000000"/>
          <w:sz w:val="20"/>
          <w:szCs w:val="20"/>
          <w:highlight w:val="white"/>
        </w:rPr>
        <w:t xml:space="preserve">. Fra.europa.eu. (2021). Retrieved 13 October 2021, from </w:t>
      </w:r>
      <w:hyperlink r:id="rId23">
        <w:r>
          <w:rPr>
            <w:rFonts w:ascii="Open Sans" w:eastAsia="Open Sans" w:hAnsi="Open Sans" w:cs="Open Sans"/>
            <w:color w:val="0563C1"/>
            <w:sz w:val="20"/>
            <w:szCs w:val="20"/>
            <w:highlight w:val="white"/>
            <w:u w:val="single"/>
          </w:rPr>
          <w:t>https://fra.europa.eu/sites/default/files/fra_uploads/lgbti-survey-country-data_luxembourg.pdf</w:t>
        </w:r>
      </w:hyperlink>
      <w:r>
        <w:rPr>
          <w:rFonts w:ascii="Open Sans" w:eastAsia="Open Sans" w:hAnsi="Open Sans" w:cs="Open Sans"/>
          <w:color w:val="000000"/>
          <w:sz w:val="20"/>
          <w:szCs w:val="20"/>
          <w:highlight w:val="white"/>
        </w:rPr>
        <w:t>.</w:t>
      </w:r>
    </w:p>
    <w:p w14:paraId="2BDBF394" w14:textId="77777777" w:rsidR="00DE64A6" w:rsidRDefault="00DE64A6">
      <w:pPr>
        <w:spacing w:after="0" w:line="360" w:lineRule="auto"/>
        <w:jc w:val="both"/>
        <w:rPr>
          <w:rFonts w:ascii="Open Sans" w:eastAsia="Open Sans" w:hAnsi="Open Sans" w:cs="Open Sans"/>
          <w:color w:val="000000"/>
          <w:sz w:val="20"/>
          <w:szCs w:val="20"/>
          <w:highlight w:val="white"/>
        </w:rPr>
      </w:pPr>
    </w:p>
    <w:p w14:paraId="301C514E" w14:textId="77777777" w:rsidR="00DE64A6" w:rsidRDefault="00000000">
      <w:pPr>
        <w:spacing w:after="0" w:line="360" w:lineRule="auto"/>
        <w:jc w:val="both"/>
        <w:rPr>
          <w:rFonts w:ascii="Open Sans" w:eastAsia="Open Sans" w:hAnsi="Open Sans" w:cs="Open Sans"/>
          <w:color w:val="000000"/>
          <w:sz w:val="20"/>
          <w:szCs w:val="20"/>
          <w:highlight w:val="white"/>
        </w:rPr>
      </w:pPr>
      <w:r>
        <w:rPr>
          <w:rFonts w:ascii="Open Sans" w:eastAsia="Open Sans" w:hAnsi="Open Sans" w:cs="Open Sans"/>
          <w:i/>
          <w:color w:val="000000"/>
          <w:sz w:val="20"/>
          <w:szCs w:val="20"/>
          <w:highlight w:val="white"/>
        </w:rPr>
        <w:t>Over the rainbow</w:t>
      </w:r>
      <w:r>
        <w:rPr>
          <w:rFonts w:ascii="Open Sans" w:eastAsia="Open Sans" w:hAnsi="Open Sans" w:cs="Open Sans"/>
          <w:color w:val="000000"/>
          <w:sz w:val="20"/>
          <w:szCs w:val="20"/>
          <w:highlight w:val="white"/>
        </w:rPr>
        <w:t xml:space="preserve">. Oecd.org. (2021). Retrieved 13 October 2021, from </w:t>
      </w:r>
      <w:hyperlink r:id="rId24">
        <w:r>
          <w:rPr>
            <w:rFonts w:ascii="Open Sans" w:eastAsia="Open Sans" w:hAnsi="Open Sans" w:cs="Open Sans"/>
            <w:color w:val="0563C1"/>
            <w:sz w:val="20"/>
            <w:szCs w:val="20"/>
            <w:highlight w:val="white"/>
            <w:u w:val="single"/>
          </w:rPr>
          <w:t>https://www.oecd.org/luxembourg/OECD-LGBTI-2020-Over-The-Rainbow-LUXEMBOURG.pdf</w:t>
        </w:r>
      </w:hyperlink>
      <w:r>
        <w:rPr>
          <w:rFonts w:ascii="Open Sans" w:eastAsia="Open Sans" w:hAnsi="Open Sans" w:cs="Open Sans"/>
          <w:color w:val="000000"/>
          <w:sz w:val="20"/>
          <w:szCs w:val="20"/>
          <w:highlight w:val="white"/>
        </w:rPr>
        <w:t>.</w:t>
      </w:r>
    </w:p>
    <w:p w14:paraId="4967DD53" w14:textId="77777777" w:rsidR="00DE64A6" w:rsidRDefault="00DE64A6">
      <w:pPr>
        <w:spacing w:after="0" w:line="360" w:lineRule="auto"/>
        <w:jc w:val="both"/>
        <w:rPr>
          <w:rFonts w:ascii="Open Sans" w:eastAsia="Open Sans" w:hAnsi="Open Sans" w:cs="Open Sans"/>
          <w:color w:val="000000"/>
          <w:sz w:val="20"/>
          <w:szCs w:val="20"/>
          <w:highlight w:val="white"/>
        </w:rPr>
      </w:pPr>
    </w:p>
    <w:p w14:paraId="30A297A3" w14:textId="77777777" w:rsidR="00DE64A6" w:rsidRDefault="00000000">
      <w:pPr>
        <w:spacing w:after="0" w:line="360" w:lineRule="auto"/>
        <w:jc w:val="both"/>
        <w:rPr>
          <w:rFonts w:ascii="Open Sans" w:eastAsia="Open Sans" w:hAnsi="Open Sans" w:cs="Open Sans"/>
          <w:color w:val="000000"/>
          <w:sz w:val="20"/>
          <w:szCs w:val="20"/>
          <w:highlight w:val="white"/>
        </w:rPr>
      </w:pPr>
      <w:r>
        <w:rPr>
          <w:rFonts w:ascii="Open Sans" w:eastAsia="Open Sans" w:hAnsi="Open Sans" w:cs="Open Sans"/>
          <w:i/>
          <w:color w:val="000000"/>
          <w:sz w:val="20"/>
          <w:szCs w:val="20"/>
          <w:highlight w:val="white"/>
        </w:rPr>
        <w:t>Luxembourg Pride Week 2021 and LGBTIQ life</w:t>
      </w:r>
      <w:r>
        <w:rPr>
          <w:rFonts w:ascii="Open Sans" w:eastAsia="Open Sans" w:hAnsi="Open Sans" w:cs="Open Sans"/>
          <w:color w:val="000000"/>
          <w:sz w:val="20"/>
          <w:szCs w:val="20"/>
          <w:highlight w:val="white"/>
        </w:rPr>
        <w:t xml:space="preserve">. Luxembourg Times. (2021). Retrieved 13 October 2021, from </w:t>
      </w:r>
      <w:hyperlink r:id="rId25">
        <w:r>
          <w:rPr>
            <w:rFonts w:ascii="Open Sans" w:eastAsia="Open Sans" w:hAnsi="Open Sans" w:cs="Open Sans"/>
            <w:color w:val="0563C1"/>
            <w:sz w:val="20"/>
            <w:szCs w:val="20"/>
            <w:highlight w:val="white"/>
            <w:u w:val="single"/>
          </w:rPr>
          <w:t>https://www.luxtimes.lu/en/living-in-luxembourg/diversity-luxembourg-pride-week-2021-and-lgbtiq-life-602d6079de135b923695e6dc</w:t>
        </w:r>
      </w:hyperlink>
      <w:r>
        <w:rPr>
          <w:rFonts w:ascii="Open Sans" w:eastAsia="Open Sans" w:hAnsi="Open Sans" w:cs="Open Sans"/>
          <w:color w:val="000000"/>
          <w:sz w:val="20"/>
          <w:szCs w:val="20"/>
          <w:highlight w:val="white"/>
        </w:rPr>
        <w:t>.</w:t>
      </w:r>
    </w:p>
    <w:p w14:paraId="68A023ED" w14:textId="77777777" w:rsidR="00DE64A6" w:rsidRDefault="00DE64A6">
      <w:pPr>
        <w:spacing w:after="0" w:line="360" w:lineRule="auto"/>
        <w:jc w:val="both"/>
        <w:rPr>
          <w:rFonts w:ascii="Open Sans" w:eastAsia="Open Sans" w:hAnsi="Open Sans" w:cs="Open Sans"/>
          <w:color w:val="000000"/>
          <w:sz w:val="20"/>
          <w:szCs w:val="20"/>
          <w:highlight w:val="white"/>
        </w:rPr>
      </w:pPr>
    </w:p>
    <w:p w14:paraId="628F2186" w14:textId="77777777" w:rsidR="00DE64A6" w:rsidRDefault="00000000">
      <w:pPr>
        <w:spacing w:after="0" w:line="360" w:lineRule="auto"/>
        <w:jc w:val="both"/>
        <w:rPr>
          <w:rFonts w:ascii="Open Sans" w:eastAsia="Open Sans" w:hAnsi="Open Sans" w:cs="Open Sans"/>
          <w:color w:val="000000"/>
          <w:sz w:val="20"/>
          <w:szCs w:val="20"/>
          <w:highlight w:val="white"/>
        </w:rPr>
      </w:pPr>
      <w:r>
        <w:rPr>
          <w:rFonts w:ascii="Open Sans" w:eastAsia="Open Sans" w:hAnsi="Open Sans" w:cs="Open Sans"/>
          <w:i/>
          <w:color w:val="000000"/>
          <w:sz w:val="20"/>
          <w:szCs w:val="20"/>
          <w:highlight w:val="white"/>
        </w:rPr>
        <w:t>Release of the first best practices guide</w:t>
      </w:r>
      <w:r>
        <w:rPr>
          <w:rFonts w:ascii="Open Sans" w:eastAsia="Open Sans" w:hAnsi="Open Sans" w:cs="Open Sans"/>
          <w:color w:val="000000"/>
          <w:sz w:val="20"/>
          <w:szCs w:val="20"/>
          <w:highlight w:val="white"/>
        </w:rPr>
        <w:t xml:space="preserve">. IMS Luxembourg. (2021). Retrieved 13 October 2021, from </w:t>
      </w:r>
      <w:hyperlink r:id="rId26">
        <w:r>
          <w:rPr>
            <w:rFonts w:ascii="Open Sans" w:eastAsia="Open Sans" w:hAnsi="Open Sans" w:cs="Open Sans"/>
            <w:color w:val="0563C1"/>
            <w:sz w:val="20"/>
            <w:szCs w:val="20"/>
            <w:highlight w:val="white"/>
            <w:u w:val="single"/>
          </w:rPr>
          <w:t>https://imslux.lu/eng/news/337_release-of-the-first-best-practices-guide-lgbti-inclusion-in-the-workplace</w:t>
        </w:r>
      </w:hyperlink>
      <w:r>
        <w:rPr>
          <w:rFonts w:ascii="Open Sans" w:eastAsia="Open Sans" w:hAnsi="Open Sans" w:cs="Open Sans"/>
          <w:color w:val="000000"/>
          <w:sz w:val="20"/>
          <w:szCs w:val="20"/>
          <w:highlight w:val="white"/>
        </w:rPr>
        <w:t xml:space="preserve">. </w:t>
      </w:r>
    </w:p>
    <w:p w14:paraId="2805F722" w14:textId="77777777" w:rsidR="00DE64A6" w:rsidRDefault="00DE64A6">
      <w:pPr>
        <w:spacing w:after="0" w:line="360" w:lineRule="auto"/>
        <w:jc w:val="both"/>
        <w:rPr>
          <w:rFonts w:ascii="Open Sans" w:eastAsia="Open Sans" w:hAnsi="Open Sans" w:cs="Open Sans"/>
          <w:color w:val="000000"/>
          <w:sz w:val="20"/>
          <w:szCs w:val="20"/>
          <w:highlight w:val="white"/>
        </w:rPr>
      </w:pPr>
    </w:p>
    <w:p w14:paraId="07E6AAF2" w14:textId="77777777" w:rsidR="00DE64A6" w:rsidRDefault="00DE64A6">
      <w:pPr>
        <w:pStyle w:val="Kop2"/>
        <w:spacing w:before="0" w:line="360" w:lineRule="auto"/>
        <w:jc w:val="both"/>
        <w:rPr>
          <w:rFonts w:ascii="Calibri" w:eastAsia="Calibri" w:hAnsi="Calibri" w:cs="Calibri"/>
          <w:b/>
          <w:color w:val="000000"/>
          <w:sz w:val="28"/>
          <w:szCs w:val="28"/>
        </w:rPr>
      </w:pPr>
    </w:p>
    <w:sectPr w:rsidR="00DE64A6">
      <w:headerReference w:type="default" r:id="rId27"/>
      <w:footerReference w:type="default" r:id="rId28"/>
      <w:pgSz w:w="11906" w:h="16838"/>
      <w:pgMar w:top="1440" w:right="1080" w:bottom="1440" w:left="1080" w:header="397"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A3CBF" w14:textId="77777777" w:rsidR="00730228" w:rsidRDefault="00730228">
      <w:pPr>
        <w:spacing w:after="0" w:line="240" w:lineRule="auto"/>
      </w:pPr>
      <w:r>
        <w:separator/>
      </w:r>
    </w:p>
  </w:endnote>
  <w:endnote w:type="continuationSeparator" w:id="0">
    <w:p w14:paraId="18495BB5" w14:textId="77777777" w:rsidR="00730228" w:rsidRDefault="00730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Quattrocento Sans">
    <w:charset w:val="00"/>
    <w:family w:val="swiss"/>
    <w:pitch w:val="variable"/>
    <w:sig w:usb0="800000BF" w:usb1="4000005B"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03C9" w14:textId="77777777" w:rsidR="00DE64A6" w:rsidRDefault="00DE64A6">
    <w:pPr>
      <w:pBdr>
        <w:top w:val="nil"/>
        <w:left w:val="nil"/>
        <w:bottom w:val="nil"/>
        <w:right w:val="nil"/>
        <w:between w:val="nil"/>
      </w:pBdr>
      <w:tabs>
        <w:tab w:val="center" w:pos="4153"/>
        <w:tab w:val="right" w:pos="8306"/>
      </w:tabs>
      <w:spacing w:after="0" w:line="240" w:lineRule="auto"/>
      <w:ind w:left="2880"/>
      <w:jc w:val="both"/>
      <w:rPr>
        <w:color w:val="000000"/>
        <w:sz w:val="16"/>
        <w:szCs w:val="16"/>
      </w:rPr>
    </w:pPr>
    <w:bookmarkStart w:id="7" w:name="_heading=h.49x2ik5" w:colFirst="0" w:colLast="0"/>
    <w:bookmarkEnd w:id="7"/>
  </w:p>
  <w:p w14:paraId="16522345" w14:textId="77777777" w:rsidR="00DE64A6" w:rsidRDefault="00000000">
    <w:pPr>
      <w:pBdr>
        <w:top w:val="nil"/>
        <w:left w:val="nil"/>
        <w:bottom w:val="nil"/>
        <w:right w:val="nil"/>
        <w:between w:val="nil"/>
      </w:pBdr>
      <w:tabs>
        <w:tab w:val="center" w:pos="4153"/>
        <w:tab w:val="right" w:pos="8306"/>
      </w:tabs>
      <w:spacing w:after="0" w:line="240" w:lineRule="auto"/>
      <w:ind w:left="2880"/>
      <w:jc w:val="both"/>
      <w:rPr>
        <w:color w:val="000000"/>
        <w:sz w:val="16"/>
        <w:szCs w:val="16"/>
      </w:rPr>
    </w:pPr>
    <w:r>
      <w:rPr>
        <w:noProof/>
      </w:rPr>
      <w:drawing>
        <wp:anchor distT="0" distB="0" distL="114300" distR="114300" simplePos="0" relativeHeight="251660288" behindDoc="0" locked="0" layoutInCell="1" hidden="0" allowOverlap="1" wp14:anchorId="0280DB6D" wp14:editId="246E923B">
          <wp:simplePos x="0" y="0"/>
          <wp:positionH relativeFrom="column">
            <wp:posOffset>-47623</wp:posOffset>
          </wp:positionH>
          <wp:positionV relativeFrom="paragraph">
            <wp:posOffset>43180</wp:posOffset>
          </wp:positionV>
          <wp:extent cx="1685925" cy="514350"/>
          <wp:effectExtent l="0" t="0" r="0" b="0"/>
          <wp:wrapSquare wrapText="bothSides" distT="0" distB="0" distL="114300" distR="114300"/>
          <wp:docPr id="96" name="image3.jpg" descr="Image result for co-funded by the erasmus+ programme of the european union"/>
          <wp:cNvGraphicFramePr/>
          <a:graphic xmlns:a="http://schemas.openxmlformats.org/drawingml/2006/main">
            <a:graphicData uri="http://schemas.openxmlformats.org/drawingml/2006/picture">
              <pic:pic xmlns:pic="http://schemas.openxmlformats.org/drawingml/2006/picture">
                <pic:nvPicPr>
                  <pic:cNvPr id="0" name="image3.jpg" descr="Image result for co-funded by the erasmus+ programme of the european union"/>
                  <pic:cNvPicPr preferRelativeResize="0"/>
                </pic:nvPicPr>
                <pic:blipFill>
                  <a:blip r:embed="rId1"/>
                  <a:srcRect/>
                  <a:stretch>
                    <a:fillRect/>
                  </a:stretch>
                </pic:blipFill>
                <pic:spPr>
                  <a:xfrm>
                    <a:off x="0" y="0"/>
                    <a:ext cx="1685925" cy="514350"/>
                  </a:xfrm>
                  <a:prstGeom prst="rect">
                    <a:avLst/>
                  </a:prstGeom>
                  <a:ln/>
                </pic:spPr>
              </pic:pic>
            </a:graphicData>
          </a:graphic>
        </wp:anchor>
      </w:drawing>
    </w:r>
  </w:p>
  <w:p w14:paraId="681FBB19" w14:textId="77777777" w:rsidR="00DE64A6" w:rsidRDefault="00000000">
    <w:pPr>
      <w:pBdr>
        <w:top w:val="nil"/>
        <w:left w:val="nil"/>
        <w:bottom w:val="nil"/>
        <w:right w:val="nil"/>
        <w:between w:val="nil"/>
      </w:pBdr>
      <w:tabs>
        <w:tab w:val="center" w:pos="4153"/>
        <w:tab w:val="right" w:pos="8306"/>
      </w:tabs>
      <w:spacing w:after="0" w:line="240" w:lineRule="auto"/>
      <w:ind w:left="2880"/>
      <w:jc w:val="both"/>
      <w:rPr>
        <w:color w:val="000000"/>
        <w:sz w:val="16"/>
        <w:szCs w:val="16"/>
      </w:rPr>
    </w:pPr>
    <w:r>
      <w:rPr>
        <w:color w:val="000000"/>
        <w:sz w:val="16"/>
        <w:szCs w:val="16"/>
      </w:rPr>
      <w:t>The European Commission's support for the production of this publication does not constitute an endorsement of the contents, which reflect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DA00B" w14:textId="77777777" w:rsidR="00730228" w:rsidRDefault="00730228">
      <w:pPr>
        <w:spacing w:after="0" w:line="240" w:lineRule="auto"/>
      </w:pPr>
      <w:r>
        <w:separator/>
      </w:r>
    </w:p>
  </w:footnote>
  <w:footnote w:type="continuationSeparator" w:id="0">
    <w:p w14:paraId="7A949B46" w14:textId="77777777" w:rsidR="00730228" w:rsidRDefault="00730228">
      <w:pPr>
        <w:spacing w:after="0" w:line="240" w:lineRule="auto"/>
      </w:pPr>
      <w:r>
        <w:continuationSeparator/>
      </w:r>
    </w:p>
  </w:footnote>
  <w:footnote w:id="1">
    <w:p w14:paraId="40ECACAA" w14:textId="77777777" w:rsidR="00DE64A6" w:rsidRDefault="00000000">
      <w:pPr>
        <w:spacing w:after="0" w:line="240" w:lineRule="auto"/>
        <w:rPr>
          <w:sz w:val="20"/>
          <w:szCs w:val="20"/>
        </w:rPr>
      </w:pPr>
      <w:r>
        <w:rPr>
          <w:rStyle w:val="Voetnootmarkering"/>
        </w:rPr>
        <w:footnoteRef/>
      </w:r>
      <w:r>
        <w:rPr>
          <w:sz w:val="20"/>
          <w:szCs w:val="20"/>
        </w:rPr>
        <w:t xml:space="preserve"> For example, visit </w:t>
      </w:r>
      <w:hyperlink r:id="rId1">
        <w:r>
          <w:rPr>
            <w:color w:val="0563C1"/>
            <w:sz w:val="20"/>
            <w:szCs w:val="20"/>
            <w:u w:val="single"/>
          </w:rPr>
          <w:t>https://libguides.murdoch.edu.au/APA/all</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AF19" w14:textId="77777777" w:rsidR="00DE64A6" w:rsidRDefault="00000000">
    <w:pPr>
      <w:pBdr>
        <w:top w:val="nil"/>
        <w:left w:val="nil"/>
        <w:bottom w:val="nil"/>
        <w:right w:val="nil"/>
        <w:between w:val="nil"/>
      </w:pBdr>
      <w:tabs>
        <w:tab w:val="center" w:pos="4153"/>
        <w:tab w:val="right" w:pos="8306"/>
      </w:tabs>
      <w:spacing w:after="0" w:line="240" w:lineRule="auto"/>
      <w:jc w:val="right"/>
      <w:rPr>
        <w:color w:val="000000"/>
      </w:rPr>
    </w:pPr>
    <w:r>
      <w:rPr>
        <w:noProof/>
      </w:rPr>
      <w:drawing>
        <wp:anchor distT="0" distB="0" distL="114300" distR="114300" simplePos="0" relativeHeight="251658240" behindDoc="0" locked="0" layoutInCell="1" hidden="0" allowOverlap="1" wp14:anchorId="1BEEA9E1" wp14:editId="2DF7E472">
          <wp:simplePos x="0" y="0"/>
          <wp:positionH relativeFrom="column">
            <wp:posOffset>-561339</wp:posOffset>
          </wp:positionH>
          <wp:positionV relativeFrom="paragraph">
            <wp:posOffset>-96519</wp:posOffset>
          </wp:positionV>
          <wp:extent cx="1866900" cy="982382"/>
          <wp:effectExtent l="0" t="0" r="0" b="0"/>
          <wp:wrapNone/>
          <wp:docPr id="94" name="image4.png" descr="NovelGroup | NovelGroup"/>
          <wp:cNvGraphicFramePr/>
          <a:graphic xmlns:a="http://schemas.openxmlformats.org/drawingml/2006/main">
            <a:graphicData uri="http://schemas.openxmlformats.org/drawingml/2006/picture">
              <pic:pic xmlns:pic="http://schemas.openxmlformats.org/drawingml/2006/picture">
                <pic:nvPicPr>
                  <pic:cNvPr id="0" name="image4.png" descr="NovelGroup | NovelGroup"/>
                  <pic:cNvPicPr preferRelativeResize="0"/>
                </pic:nvPicPr>
                <pic:blipFill>
                  <a:blip r:embed="rId1"/>
                  <a:srcRect/>
                  <a:stretch>
                    <a:fillRect/>
                  </a:stretch>
                </pic:blipFill>
                <pic:spPr>
                  <a:xfrm>
                    <a:off x="0" y="0"/>
                    <a:ext cx="1866900" cy="982382"/>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A03BCBD" wp14:editId="1C6C518A">
          <wp:simplePos x="0" y="0"/>
          <wp:positionH relativeFrom="column">
            <wp:posOffset>4791075</wp:posOffset>
          </wp:positionH>
          <wp:positionV relativeFrom="paragraph">
            <wp:posOffset>-102869</wp:posOffset>
          </wp:positionV>
          <wp:extent cx="1938020" cy="664845"/>
          <wp:effectExtent l="0" t="0" r="0" b="0"/>
          <wp:wrapNone/>
          <wp:docPr id="9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938020" cy="664845"/>
                  </a:xfrm>
                  <a:prstGeom prst="rect">
                    <a:avLst/>
                  </a:prstGeom>
                  <a:ln/>
                </pic:spPr>
              </pic:pic>
            </a:graphicData>
          </a:graphic>
        </wp:anchor>
      </w:drawing>
    </w:r>
  </w:p>
  <w:p w14:paraId="28802EB2" w14:textId="77777777" w:rsidR="00DE64A6" w:rsidRDefault="00DE64A6">
    <w:pPr>
      <w:pBdr>
        <w:top w:val="nil"/>
        <w:left w:val="nil"/>
        <w:bottom w:val="nil"/>
        <w:right w:val="nil"/>
        <w:between w:val="nil"/>
      </w:pBdr>
      <w:tabs>
        <w:tab w:val="center" w:pos="4153"/>
        <w:tab w:val="right" w:pos="8306"/>
      </w:tabs>
      <w:spacing w:after="0" w:line="240" w:lineRule="auto"/>
      <w:jc w:val="right"/>
      <w:rPr>
        <w:color w:val="000000"/>
      </w:rPr>
    </w:pPr>
  </w:p>
  <w:p w14:paraId="588C299F" w14:textId="77777777" w:rsidR="00DE64A6" w:rsidRDefault="00DE64A6">
    <w:pPr>
      <w:pBdr>
        <w:top w:val="nil"/>
        <w:left w:val="nil"/>
        <w:bottom w:val="nil"/>
        <w:right w:val="nil"/>
        <w:between w:val="nil"/>
      </w:pBdr>
      <w:tabs>
        <w:tab w:val="center" w:pos="4153"/>
        <w:tab w:val="right" w:pos="8306"/>
      </w:tabs>
      <w:spacing w:after="0" w:line="240" w:lineRule="auto"/>
      <w:jc w:val="right"/>
      <w:rPr>
        <w:color w:val="000000"/>
      </w:rPr>
    </w:pPr>
  </w:p>
  <w:p w14:paraId="14259321" w14:textId="77777777" w:rsidR="00DE64A6" w:rsidRDefault="00000000">
    <w:pPr>
      <w:pBdr>
        <w:top w:val="nil"/>
        <w:left w:val="nil"/>
        <w:bottom w:val="nil"/>
        <w:right w:val="nil"/>
        <w:between w:val="nil"/>
      </w:pBdr>
      <w:tabs>
        <w:tab w:val="center" w:pos="4153"/>
        <w:tab w:val="right" w:pos="8306"/>
      </w:tabs>
      <w:spacing w:after="0" w:line="240" w:lineRule="auto"/>
      <w:jc w:val="right"/>
      <w:rPr>
        <w:color w:val="000000"/>
      </w:rPr>
    </w:pPr>
    <w:r>
      <w:rPr>
        <w:color w:val="000000"/>
      </w:rPr>
      <w:t xml:space="preserve">               </w:t>
    </w:r>
    <w:r>
      <w:t xml:space="preserve">  </w:t>
    </w:r>
  </w:p>
  <w:p w14:paraId="008A0EB7" w14:textId="77777777" w:rsidR="00DE64A6" w:rsidRDefault="00DE64A6">
    <w:pPr>
      <w:pBdr>
        <w:top w:val="nil"/>
        <w:left w:val="nil"/>
        <w:bottom w:val="nil"/>
        <w:right w:val="nil"/>
        <w:between w:val="nil"/>
      </w:pBdr>
      <w:tabs>
        <w:tab w:val="center" w:pos="4153"/>
        <w:tab w:val="right" w:pos="8306"/>
      </w:tabs>
      <w:spacing w:after="0" w:line="240" w:lineRule="auto"/>
      <w:rPr>
        <w:color w:val="000000"/>
      </w:rPr>
    </w:pPr>
  </w:p>
  <w:p w14:paraId="4B633F06" w14:textId="77777777" w:rsidR="00DE64A6" w:rsidRDefault="00DE64A6">
    <w:pPr>
      <w:pBdr>
        <w:top w:val="nil"/>
        <w:left w:val="nil"/>
        <w:bottom w:val="nil"/>
        <w:right w:val="nil"/>
        <w:between w:val="nil"/>
      </w:pBdr>
      <w:tabs>
        <w:tab w:val="center" w:pos="4153"/>
        <w:tab w:val="right" w:pos="8306"/>
      </w:tabs>
      <w:spacing w:after="0" w:line="240" w:lineRule="auto"/>
      <w:rPr>
        <w:color w:val="000000"/>
      </w:rPr>
    </w:pPr>
  </w:p>
  <w:p w14:paraId="39759A07" w14:textId="77777777" w:rsidR="00DE64A6" w:rsidRDefault="00DE64A6">
    <w:pPr>
      <w:pBdr>
        <w:top w:val="nil"/>
        <w:left w:val="nil"/>
        <w:bottom w:val="nil"/>
        <w:right w:val="nil"/>
        <w:between w:val="nil"/>
      </w:pBdr>
      <w:tabs>
        <w:tab w:val="center" w:pos="4153"/>
        <w:tab w:val="right" w:pos="8306"/>
      </w:tabs>
      <w:spacing w:after="0" w:line="240" w:lineRule="auto"/>
      <w:rPr>
        <w:color w:val="000000"/>
      </w:rPr>
    </w:pPr>
  </w:p>
  <w:p w14:paraId="6FA2E378" w14:textId="77777777" w:rsidR="00DE64A6" w:rsidRDefault="00DE64A6">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0129"/>
    <w:multiLevelType w:val="multilevel"/>
    <w:tmpl w:val="7E60C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D135A1"/>
    <w:multiLevelType w:val="multilevel"/>
    <w:tmpl w:val="1BD89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4969FF"/>
    <w:multiLevelType w:val="multilevel"/>
    <w:tmpl w:val="54DA93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29159737">
    <w:abstractNumId w:val="1"/>
  </w:num>
  <w:num w:numId="2" w16cid:durableId="655645673">
    <w:abstractNumId w:val="0"/>
  </w:num>
  <w:num w:numId="3" w16cid:durableId="1548295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46F41F8-AE9F-4207-AC1A-5C9B493F5133}"/>
    <w:docVar w:name="dgnword-eventsink" w:val="2637485700960"/>
  </w:docVars>
  <w:rsids>
    <w:rsidRoot w:val="00DE64A6"/>
    <w:rsid w:val="00730228"/>
    <w:rsid w:val="00C00EC8"/>
    <w:rsid w:val="00DE64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1EDCC"/>
  <w15:docId w15:val="{5B81EC9A-4486-4A9E-97D2-45DE3206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1"/>
        <w:szCs w:val="21"/>
        <w:lang w:val="en-GB" w:eastAsia="nl-NL"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044D"/>
  </w:style>
  <w:style w:type="paragraph" w:styleId="Kop1">
    <w:name w:val="heading 1"/>
    <w:basedOn w:val="Standaard"/>
    <w:next w:val="Standaard"/>
    <w:link w:val="Kop1Char"/>
    <w:uiPriority w:val="9"/>
    <w:qFormat/>
    <w:rsid w:val="007D044D"/>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Kop2">
    <w:name w:val="heading 2"/>
    <w:basedOn w:val="Standaard"/>
    <w:next w:val="Standaard"/>
    <w:link w:val="Kop2Char"/>
    <w:uiPriority w:val="9"/>
    <w:unhideWhenUsed/>
    <w:qFormat/>
    <w:rsid w:val="007D044D"/>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Kop3">
    <w:name w:val="heading 3"/>
    <w:basedOn w:val="Standaard"/>
    <w:next w:val="Standaard"/>
    <w:link w:val="Kop3Char"/>
    <w:uiPriority w:val="9"/>
    <w:unhideWhenUsed/>
    <w:qFormat/>
    <w:rsid w:val="00853BAC"/>
    <w:pPr>
      <w:spacing w:after="0" w:line="360" w:lineRule="auto"/>
      <w:outlineLvl w:val="2"/>
    </w:pPr>
    <w:rPr>
      <w:b/>
      <w:sz w:val="24"/>
      <w:szCs w:val="24"/>
      <w:u w:val="single"/>
    </w:rPr>
  </w:style>
  <w:style w:type="paragraph" w:styleId="Kop4">
    <w:name w:val="heading 4"/>
    <w:basedOn w:val="Standaard"/>
    <w:next w:val="Standaard"/>
    <w:link w:val="Kop4Char"/>
    <w:uiPriority w:val="9"/>
    <w:unhideWhenUsed/>
    <w:qFormat/>
    <w:rsid w:val="007D044D"/>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Kop5">
    <w:name w:val="heading 5"/>
    <w:basedOn w:val="Standaard"/>
    <w:next w:val="Standaard"/>
    <w:link w:val="Kop5Char"/>
    <w:uiPriority w:val="9"/>
    <w:semiHidden/>
    <w:unhideWhenUsed/>
    <w:qFormat/>
    <w:rsid w:val="007D044D"/>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Kop6">
    <w:name w:val="heading 6"/>
    <w:basedOn w:val="Standaard"/>
    <w:next w:val="Standaard"/>
    <w:link w:val="Kop6Char"/>
    <w:uiPriority w:val="9"/>
    <w:semiHidden/>
    <w:unhideWhenUsed/>
    <w:qFormat/>
    <w:rsid w:val="007D044D"/>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Kop7">
    <w:name w:val="heading 7"/>
    <w:basedOn w:val="Standaard"/>
    <w:next w:val="Standaard"/>
    <w:link w:val="Kop7Char"/>
    <w:uiPriority w:val="9"/>
    <w:semiHidden/>
    <w:unhideWhenUsed/>
    <w:qFormat/>
    <w:rsid w:val="007D044D"/>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Kop8">
    <w:name w:val="heading 8"/>
    <w:basedOn w:val="Standaard"/>
    <w:next w:val="Standaard"/>
    <w:link w:val="Kop8Char"/>
    <w:uiPriority w:val="9"/>
    <w:semiHidden/>
    <w:unhideWhenUsed/>
    <w:qFormat/>
    <w:rsid w:val="007D044D"/>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Kop9">
    <w:name w:val="heading 9"/>
    <w:basedOn w:val="Standaard"/>
    <w:next w:val="Standaard"/>
    <w:link w:val="Kop9Char"/>
    <w:uiPriority w:val="9"/>
    <w:semiHidden/>
    <w:unhideWhenUsed/>
    <w:qFormat/>
    <w:rsid w:val="007D044D"/>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7D044D"/>
    <w:pPr>
      <w:spacing w:after="0" w:line="240" w:lineRule="auto"/>
      <w:contextualSpacing/>
    </w:pPr>
    <w:rPr>
      <w:rFonts w:asciiTheme="majorHAnsi" w:eastAsiaTheme="majorEastAsia" w:hAnsiTheme="majorHAnsi" w:cstheme="majorBidi"/>
      <w:color w:val="262626" w:themeColor="text1" w:themeTint="D9"/>
      <w:sz w:val="96"/>
      <w:szCs w:val="96"/>
    </w:rPr>
  </w:style>
  <w:style w:type="table" w:customStyle="1" w:styleId="TableNormal1">
    <w:name w:val="Table Normal1"/>
    <w:tblPr>
      <w:tblCellMar>
        <w:top w:w="0" w:type="dxa"/>
        <w:left w:w="0" w:type="dxa"/>
        <w:bottom w:w="0" w:type="dxa"/>
        <w:right w:w="0" w:type="dxa"/>
      </w:tblCellMar>
    </w:tblPr>
  </w:style>
  <w:style w:type="character" w:customStyle="1" w:styleId="Kop1Char">
    <w:name w:val="Kop 1 Char"/>
    <w:basedOn w:val="Standaardalinea-lettertype"/>
    <w:link w:val="Kop1"/>
    <w:uiPriority w:val="9"/>
    <w:rsid w:val="007D044D"/>
    <w:rPr>
      <w:rFonts w:asciiTheme="majorHAnsi" w:eastAsiaTheme="majorEastAsia" w:hAnsiTheme="majorHAnsi" w:cstheme="majorBidi"/>
      <w:color w:val="262626" w:themeColor="text1" w:themeTint="D9"/>
      <w:sz w:val="40"/>
      <w:szCs w:val="40"/>
    </w:rPr>
  </w:style>
  <w:style w:type="character" w:customStyle="1" w:styleId="Kop3Char">
    <w:name w:val="Kop 3 Char"/>
    <w:basedOn w:val="Standaardalinea-lettertype"/>
    <w:link w:val="Kop3"/>
    <w:uiPriority w:val="9"/>
    <w:rsid w:val="00853BAC"/>
    <w:rPr>
      <w:b/>
      <w:sz w:val="24"/>
      <w:szCs w:val="24"/>
      <w:u w:val="single"/>
    </w:rPr>
  </w:style>
  <w:style w:type="character" w:customStyle="1" w:styleId="TitelChar">
    <w:name w:val="Titel Char"/>
    <w:basedOn w:val="Standaardalinea-lettertype"/>
    <w:link w:val="Titel"/>
    <w:uiPriority w:val="10"/>
    <w:rsid w:val="007D044D"/>
    <w:rPr>
      <w:rFonts w:asciiTheme="majorHAnsi" w:eastAsiaTheme="majorEastAsia" w:hAnsiTheme="majorHAnsi" w:cstheme="majorBidi"/>
      <w:color w:val="262626" w:themeColor="text1" w:themeTint="D9"/>
      <w:sz w:val="96"/>
      <w:szCs w:val="96"/>
    </w:rPr>
  </w:style>
  <w:style w:type="character" w:styleId="Titelvanboek">
    <w:name w:val="Book Title"/>
    <w:basedOn w:val="Standaardalinea-lettertype"/>
    <w:uiPriority w:val="33"/>
    <w:qFormat/>
    <w:rsid w:val="007D044D"/>
    <w:rPr>
      <w:b/>
      <w:bCs/>
      <w:caps w:val="0"/>
      <w:smallCaps/>
      <w:spacing w:val="0"/>
    </w:rPr>
  </w:style>
  <w:style w:type="character" w:styleId="Intensievebenadrukking">
    <w:name w:val="Intense Emphasis"/>
    <w:basedOn w:val="Standaardalinea-lettertype"/>
    <w:uiPriority w:val="21"/>
    <w:qFormat/>
    <w:rsid w:val="007D044D"/>
    <w:rPr>
      <w:b/>
      <w:bCs/>
      <w:i/>
      <w:iCs/>
      <w:caps w:val="0"/>
      <w:smallCaps w:val="0"/>
      <w:strike w:val="0"/>
      <w:dstrike w:val="0"/>
      <w:color w:val="ED7D31" w:themeColor="accent2"/>
    </w:rPr>
  </w:style>
  <w:style w:type="character" w:styleId="Zwaar">
    <w:name w:val="Strong"/>
    <w:basedOn w:val="Standaardalinea-lettertype"/>
    <w:uiPriority w:val="22"/>
    <w:qFormat/>
    <w:rsid w:val="007D044D"/>
    <w:rPr>
      <w:b/>
      <w:bCs/>
    </w:rPr>
  </w:style>
  <w:style w:type="paragraph" w:styleId="Duidelijkcitaat">
    <w:name w:val="Intense Quote"/>
    <w:basedOn w:val="Standaard"/>
    <w:next w:val="Standaard"/>
    <w:link w:val="DuidelijkcitaatChar"/>
    <w:uiPriority w:val="30"/>
    <w:qFormat/>
    <w:rsid w:val="007D044D"/>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DuidelijkcitaatChar">
    <w:name w:val="Duidelijk citaat Char"/>
    <w:basedOn w:val="Standaardalinea-lettertype"/>
    <w:link w:val="Duidelijkcitaat"/>
    <w:uiPriority w:val="30"/>
    <w:rsid w:val="007D044D"/>
    <w:rPr>
      <w:rFonts w:asciiTheme="majorHAnsi" w:eastAsiaTheme="majorEastAsia" w:hAnsiTheme="majorHAnsi" w:cstheme="majorBidi"/>
      <w:sz w:val="24"/>
      <w:szCs w:val="24"/>
    </w:rPr>
  </w:style>
  <w:style w:type="character" w:styleId="Subtieleverwijzing">
    <w:name w:val="Subtle Reference"/>
    <w:basedOn w:val="Standaardalinea-lettertype"/>
    <w:uiPriority w:val="31"/>
    <w:qFormat/>
    <w:rsid w:val="007D044D"/>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7D044D"/>
    <w:rPr>
      <w:b/>
      <w:bCs/>
      <w:caps w:val="0"/>
      <w:smallCaps/>
      <w:color w:val="auto"/>
      <w:spacing w:val="0"/>
      <w:u w:val="single"/>
    </w:rPr>
  </w:style>
  <w:style w:type="paragraph" w:styleId="Geenafstand">
    <w:name w:val="No Spacing"/>
    <w:uiPriority w:val="1"/>
    <w:qFormat/>
    <w:rsid w:val="007D044D"/>
    <w:pPr>
      <w:spacing w:after="0" w:line="240" w:lineRule="auto"/>
    </w:pPr>
  </w:style>
  <w:style w:type="character" w:customStyle="1" w:styleId="Kop2Char">
    <w:name w:val="Kop 2 Char"/>
    <w:basedOn w:val="Standaardalinea-lettertype"/>
    <w:link w:val="Kop2"/>
    <w:uiPriority w:val="9"/>
    <w:rsid w:val="007D044D"/>
    <w:rPr>
      <w:rFonts w:asciiTheme="majorHAnsi" w:eastAsiaTheme="majorEastAsia" w:hAnsiTheme="majorHAnsi" w:cstheme="majorBidi"/>
      <w:color w:val="ED7D31" w:themeColor="accent2"/>
      <w:sz w:val="36"/>
      <w:szCs w:val="36"/>
    </w:rPr>
  </w:style>
  <w:style w:type="character" w:styleId="Nadruk">
    <w:name w:val="Emphasis"/>
    <w:basedOn w:val="Standaardalinea-lettertype"/>
    <w:uiPriority w:val="20"/>
    <w:qFormat/>
    <w:rsid w:val="007D044D"/>
    <w:rPr>
      <w:i/>
      <w:iCs/>
      <w:color w:val="000000" w:themeColor="text1"/>
    </w:rPr>
  </w:style>
  <w:style w:type="table" w:styleId="Tabelraster">
    <w:name w:val="Table Grid"/>
    <w:basedOn w:val="Standaardtabel"/>
    <w:uiPriority w:val="39"/>
    <w:rsid w:val="00A84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aliases w:val="Puntos"/>
    <w:basedOn w:val="Standaard"/>
    <w:link w:val="LijstalineaChar"/>
    <w:uiPriority w:val="34"/>
    <w:qFormat/>
    <w:rsid w:val="00420E3D"/>
    <w:pPr>
      <w:ind w:left="720"/>
      <w:contextualSpacing/>
    </w:pPr>
  </w:style>
  <w:style w:type="character" w:styleId="Verwijzingopmerking">
    <w:name w:val="annotation reference"/>
    <w:basedOn w:val="Standaardalinea-lettertype"/>
    <w:uiPriority w:val="99"/>
    <w:semiHidden/>
    <w:unhideWhenUsed/>
    <w:rsid w:val="00B321BC"/>
    <w:rPr>
      <w:sz w:val="16"/>
      <w:szCs w:val="16"/>
    </w:rPr>
  </w:style>
  <w:style w:type="paragraph" w:styleId="Tekstopmerking">
    <w:name w:val="annotation text"/>
    <w:basedOn w:val="Standaard"/>
    <w:link w:val="TekstopmerkingChar"/>
    <w:uiPriority w:val="99"/>
    <w:unhideWhenUsed/>
    <w:rsid w:val="00B321BC"/>
    <w:pPr>
      <w:spacing w:line="240" w:lineRule="auto"/>
    </w:pPr>
    <w:rPr>
      <w:sz w:val="20"/>
      <w:szCs w:val="20"/>
    </w:rPr>
  </w:style>
  <w:style w:type="character" w:customStyle="1" w:styleId="TekstopmerkingChar">
    <w:name w:val="Tekst opmerking Char"/>
    <w:basedOn w:val="Standaardalinea-lettertype"/>
    <w:link w:val="Tekstopmerking"/>
    <w:uiPriority w:val="99"/>
    <w:rsid w:val="00B321BC"/>
    <w:rPr>
      <w:sz w:val="20"/>
      <w:szCs w:val="20"/>
    </w:rPr>
  </w:style>
  <w:style w:type="paragraph" w:styleId="Onderwerpvanopmerking">
    <w:name w:val="annotation subject"/>
    <w:basedOn w:val="Tekstopmerking"/>
    <w:next w:val="Tekstopmerking"/>
    <w:link w:val="OnderwerpvanopmerkingChar"/>
    <w:uiPriority w:val="99"/>
    <w:semiHidden/>
    <w:unhideWhenUsed/>
    <w:rsid w:val="00B321BC"/>
    <w:rPr>
      <w:b/>
      <w:bCs/>
    </w:rPr>
  </w:style>
  <w:style w:type="character" w:customStyle="1" w:styleId="OnderwerpvanopmerkingChar">
    <w:name w:val="Onderwerp van opmerking Char"/>
    <w:basedOn w:val="TekstopmerkingChar"/>
    <w:link w:val="Onderwerpvanopmerking"/>
    <w:uiPriority w:val="99"/>
    <w:semiHidden/>
    <w:rsid w:val="00B321BC"/>
    <w:rPr>
      <w:b/>
      <w:bCs/>
      <w:sz w:val="20"/>
      <w:szCs w:val="20"/>
    </w:rPr>
  </w:style>
  <w:style w:type="paragraph" w:styleId="Ballontekst">
    <w:name w:val="Balloon Text"/>
    <w:basedOn w:val="Standaard"/>
    <w:link w:val="BallontekstChar"/>
    <w:uiPriority w:val="99"/>
    <w:semiHidden/>
    <w:unhideWhenUsed/>
    <w:rsid w:val="00B321B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21BC"/>
    <w:rPr>
      <w:rFonts w:ascii="Segoe UI" w:hAnsi="Segoe UI" w:cs="Segoe UI"/>
      <w:sz w:val="18"/>
      <w:szCs w:val="18"/>
    </w:rPr>
  </w:style>
  <w:style w:type="paragraph" w:styleId="Ondertitel">
    <w:name w:val="Subtitle"/>
    <w:basedOn w:val="Standaard"/>
    <w:next w:val="Standaard"/>
    <w:link w:val="OndertitelChar"/>
    <w:uiPriority w:val="11"/>
    <w:qFormat/>
    <w:pPr>
      <w:spacing w:after="240"/>
    </w:pPr>
    <w:rPr>
      <w:smallCaps/>
      <w:color w:val="404040"/>
      <w:sz w:val="28"/>
      <w:szCs w:val="28"/>
    </w:rPr>
  </w:style>
  <w:style w:type="character" w:customStyle="1" w:styleId="OndertitelChar">
    <w:name w:val="Ondertitel Char"/>
    <w:basedOn w:val="Standaardalinea-lettertype"/>
    <w:link w:val="Ondertitel"/>
    <w:uiPriority w:val="11"/>
    <w:rsid w:val="007D044D"/>
    <w:rPr>
      <w:caps/>
      <w:color w:val="404040" w:themeColor="text1" w:themeTint="BF"/>
      <w:spacing w:val="20"/>
      <w:sz w:val="28"/>
      <w:szCs w:val="28"/>
    </w:rPr>
  </w:style>
  <w:style w:type="paragraph" w:styleId="Kopvaninhoudsopgave">
    <w:name w:val="TOC Heading"/>
    <w:basedOn w:val="Kop1"/>
    <w:next w:val="Standaard"/>
    <w:uiPriority w:val="39"/>
    <w:unhideWhenUsed/>
    <w:qFormat/>
    <w:rsid w:val="007D044D"/>
    <w:pPr>
      <w:outlineLvl w:val="9"/>
    </w:pPr>
  </w:style>
  <w:style w:type="paragraph" w:styleId="Inhopg1">
    <w:name w:val="toc 1"/>
    <w:basedOn w:val="Standaard"/>
    <w:next w:val="Standaard"/>
    <w:autoRedefine/>
    <w:uiPriority w:val="39"/>
    <w:unhideWhenUsed/>
    <w:rsid w:val="00175C3C"/>
    <w:pPr>
      <w:tabs>
        <w:tab w:val="left" w:pos="440"/>
        <w:tab w:val="right" w:leader="dot" w:pos="9736"/>
      </w:tabs>
      <w:spacing w:after="0" w:line="360" w:lineRule="auto"/>
      <w:jc w:val="both"/>
    </w:pPr>
  </w:style>
  <w:style w:type="paragraph" w:styleId="Inhopg2">
    <w:name w:val="toc 2"/>
    <w:basedOn w:val="Standaard"/>
    <w:next w:val="Standaard"/>
    <w:autoRedefine/>
    <w:uiPriority w:val="39"/>
    <w:unhideWhenUsed/>
    <w:rsid w:val="00424E9C"/>
    <w:pPr>
      <w:spacing w:after="100"/>
      <w:ind w:left="220"/>
    </w:pPr>
  </w:style>
  <w:style w:type="paragraph" w:styleId="Inhopg3">
    <w:name w:val="toc 3"/>
    <w:basedOn w:val="Standaard"/>
    <w:next w:val="Standaard"/>
    <w:autoRedefine/>
    <w:uiPriority w:val="39"/>
    <w:unhideWhenUsed/>
    <w:rsid w:val="00424E9C"/>
    <w:pPr>
      <w:spacing w:after="100"/>
      <w:ind w:left="440"/>
    </w:pPr>
  </w:style>
  <w:style w:type="character" w:styleId="Hyperlink">
    <w:name w:val="Hyperlink"/>
    <w:basedOn w:val="Standaardalinea-lettertype"/>
    <w:uiPriority w:val="99"/>
    <w:unhideWhenUsed/>
    <w:rsid w:val="00424E9C"/>
    <w:rPr>
      <w:color w:val="0563C1" w:themeColor="hyperlink"/>
      <w:u w:val="single"/>
    </w:rPr>
  </w:style>
  <w:style w:type="paragraph" w:styleId="Koptekst">
    <w:name w:val="header"/>
    <w:basedOn w:val="Standaard"/>
    <w:link w:val="KoptekstChar"/>
    <w:uiPriority w:val="99"/>
    <w:unhideWhenUsed/>
    <w:rsid w:val="00B03F41"/>
    <w:pPr>
      <w:tabs>
        <w:tab w:val="center" w:pos="4153"/>
        <w:tab w:val="right" w:pos="8306"/>
      </w:tabs>
      <w:spacing w:after="0" w:line="240" w:lineRule="auto"/>
    </w:pPr>
  </w:style>
  <w:style w:type="character" w:customStyle="1" w:styleId="KoptekstChar">
    <w:name w:val="Koptekst Char"/>
    <w:basedOn w:val="Standaardalinea-lettertype"/>
    <w:link w:val="Koptekst"/>
    <w:uiPriority w:val="99"/>
    <w:rsid w:val="00B03F41"/>
  </w:style>
  <w:style w:type="paragraph" w:styleId="Voettekst">
    <w:name w:val="footer"/>
    <w:basedOn w:val="Standaard"/>
    <w:link w:val="VoettekstChar"/>
    <w:uiPriority w:val="99"/>
    <w:unhideWhenUsed/>
    <w:rsid w:val="00B03F41"/>
    <w:pPr>
      <w:tabs>
        <w:tab w:val="center" w:pos="4153"/>
        <w:tab w:val="right" w:pos="8306"/>
      </w:tabs>
      <w:spacing w:after="0" w:line="240" w:lineRule="auto"/>
    </w:pPr>
  </w:style>
  <w:style w:type="character" w:customStyle="1" w:styleId="VoettekstChar">
    <w:name w:val="Voettekst Char"/>
    <w:basedOn w:val="Standaardalinea-lettertype"/>
    <w:link w:val="Voettekst"/>
    <w:uiPriority w:val="99"/>
    <w:rsid w:val="00B03F41"/>
  </w:style>
  <w:style w:type="character" w:customStyle="1" w:styleId="Kop4Char">
    <w:name w:val="Kop 4 Char"/>
    <w:basedOn w:val="Standaardalinea-lettertype"/>
    <w:link w:val="Kop4"/>
    <w:uiPriority w:val="9"/>
    <w:rsid w:val="007D044D"/>
    <w:rPr>
      <w:rFonts w:asciiTheme="majorHAnsi" w:eastAsiaTheme="majorEastAsia" w:hAnsiTheme="majorHAnsi" w:cstheme="majorBidi"/>
      <w:i/>
      <w:iCs/>
      <w:color w:val="833C0B" w:themeColor="accent2" w:themeShade="80"/>
      <w:sz w:val="28"/>
      <w:szCs w:val="28"/>
    </w:rPr>
  </w:style>
  <w:style w:type="paragraph" w:styleId="Voetnoottekst">
    <w:name w:val="footnote text"/>
    <w:basedOn w:val="Standaard"/>
    <w:link w:val="VoetnoottekstChar"/>
    <w:uiPriority w:val="99"/>
    <w:unhideWhenUsed/>
    <w:rsid w:val="00BC3EC2"/>
    <w:pPr>
      <w:spacing w:after="0" w:line="240" w:lineRule="auto"/>
    </w:pPr>
    <w:rPr>
      <w:sz w:val="20"/>
      <w:szCs w:val="20"/>
    </w:rPr>
  </w:style>
  <w:style w:type="character" w:customStyle="1" w:styleId="VoetnoottekstChar">
    <w:name w:val="Voetnoottekst Char"/>
    <w:basedOn w:val="Standaardalinea-lettertype"/>
    <w:link w:val="Voetnoottekst"/>
    <w:uiPriority w:val="99"/>
    <w:rsid w:val="00BC3EC2"/>
    <w:rPr>
      <w:sz w:val="20"/>
      <w:szCs w:val="20"/>
    </w:rPr>
  </w:style>
  <w:style w:type="character" w:styleId="Voetnootmarkering">
    <w:name w:val="footnote reference"/>
    <w:basedOn w:val="Standaardalinea-lettertype"/>
    <w:uiPriority w:val="99"/>
    <w:semiHidden/>
    <w:unhideWhenUsed/>
    <w:rsid w:val="00BC3EC2"/>
    <w:rPr>
      <w:vertAlign w:val="superscript"/>
    </w:rPr>
  </w:style>
  <w:style w:type="character" w:customStyle="1" w:styleId="1">
    <w:name w:val="Ανεπίλυτη αναφορά1"/>
    <w:basedOn w:val="Standaardalinea-lettertype"/>
    <w:uiPriority w:val="99"/>
    <w:semiHidden/>
    <w:unhideWhenUsed/>
    <w:rsid w:val="00DD4761"/>
    <w:rPr>
      <w:color w:val="605E5C"/>
      <w:shd w:val="clear" w:color="auto" w:fill="E1DFDD"/>
    </w:rPr>
  </w:style>
  <w:style w:type="character" w:customStyle="1" w:styleId="2">
    <w:name w:val="Ανεπίλυτη αναφορά2"/>
    <w:basedOn w:val="Standaardalinea-lettertype"/>
    <w:uiPriority w:val="99"/>
    <w:semiHidden/>
    <w:unhideWhenUsed/>
    <w:rsid w:val="00600AD7"/>
    <w:rPr>
      <w:color w:val="605E5C"/>
      <w:shd w:val="clear" w:color="auto" w:fill="E1DFDD"/>
    </w:rPr>
  </w:style>
  <w:style w:type="table" w:customStyle="1" w:styleId="60">
    <w:name w:val="60"/>
    <w:basedOn w:val="Standaardtabel"/>
    <w:tblPr>
      <w:tblStyleRowBandSize w:val="1"/>
      <w:tblStyleColBandSize w:val="1"/>
      <w:tblCellMar>
        <w:left w:w="115" w:type="dxa"/>
        <w:right w:w="115" w:type="dxa"/>
      </w:tblCellMar>
    </w:tblPr>
  </w:style>
  <w:style w:type="table" w:customStyle="1" w:styleId="59">
    <w:name w:val="59"/>
    <w:basedOn w:val="Standaardtabel"/>
    <w:tblPr>
      <w:tblStyleRowBandSize w:val="1"/>
      <w:tblStyleColBandSize w:val="1"/>
      <w:tblCellMar>
        <w:left w:w="115" w:type="dxa"/>
        <w:right w:w="115" w:type="dxa"/>
      </w:tblCellMar>
    </w:tblPr>
  </w:style>
  <w:style w:type="table" w:customStyle="1" w:styleId="58">
    <w:name w:val="58"/>
    <w:basedOn w:val="Standaardtabel"/>
    <w:pPr>
      <w:spacing w:after="0" w:line="240" w:lineRule="auto"/>
    </w:pPr>
    <w:tblPr>
      <w:tblStyleRowBandSize w:val="1"/>
      <w:tblStyleColBandSize w:val="1"/>
    </w:tblPr>
  </w:style>
  <w:style w:type="table" w:customStyle="1" w:styleId="57">
    <w:name w:val="57"/>
    <w:basedOn w:val="Standaardtabel"/>
    <w:tblPr>
      <w:tblStyleRowBandSize w:val="1"/>
      <w:tblStyleColBandSize w:val="1"/>
      <w:tblCellMar>
        <w:left w:w="115" w:type="dxa"/>
        <w:right w:w="115" w:type="dxa"/>
      </w:tblCellMar>
    </w:tblPr>
  </w:style>
  <w:style w:type="table" w:customStyle="1" w:styleId="56">
    <w:name w:val="56"/>
    <w:basedOn w:val="Standaardtabel"/>
    <w:tblPr>
      <w:tblStyleRowBandSize w:val="1"/>
      <w:tblStyleColBandSize w:val="1"/>
      <w:tblCellMar>
        <w:left w:w="115" w:type="dxa"/>
        <w:right w:w="115" w:type="dxa"/>
      </w:tblCellMar>
    </w:tblPr>
  </w:style>
  <w:style w:type="table" w:customStyle="1" w:styleId="55">
    <w:name w:val="55"/>
    <w:basedOn w:val="Standaardtabel"/>
    <w:pPr>
      <w:spacing w:after="0" w:line="240" w:lineRule="auto"/>
    </w:pPr>
    <w:tblPr>
      <w:tblStyleRowBandSize w:val="1"/>
      <w:tblStyleColBandSize w:val="1"/>
    </w:tblPr>
  </w:style>
  <w:style w:type="table" w:customStyle="1" w:styleId="54">
    <w:name w:val="54"/>
    <w:basedOn w:val="Standaardtabel"/>
    <w:pPr>
      <w:spacing w:after="0" w:line="240" w:lineRule="auto"/>
    </w:pPr>
    <w:tblPr>
      <w:tblStyleRowBandSize w:val="1"/>
      <w:tblStyleColBandSize w:val="1"/>
    </w:tblPr>
  </w:style>
  <w:style w:type="table" w:customStyle="1" w:styleId="53">
    <w:name w:val="53"/>
    <w:basedOn w:val="Standaardtabel"/>
    <w:pPr>
      <w:spacing w:after="0" w:line="240" w:lineRule="auto"/>
    </w:pPr>
    <w:tblPr>
      <w:tblStyleRowBandSize w:val="1"/>
      <w:tblStyleColBandSize w:val="1"/>
    </w:tblPr>
  </w:style>
  <w:style w:type="table" w:customStyle="1" w:styleId="52">
    <w:name w:val="52"/>
    <w:basedOn w:val="Standaardtabel"/>
    <w:pPr>
      <w:spacing w:after="0" w:line="240" w:lineRule="auto"/>
    </w:pPr>
    <w:tblPr>
      <w:tblStyleRowBandSize w:val="1"/>
      <w:tblStyleColBandSize w:val="1"/>
    </w:tblPr>
  </w:style>
  <w:style w:type="table" w:customStyle="1" w:styleId="51">
    <w:name w:val="51"/>
    <w:basedOn w:val="Standaardtabel"/>
    <w:pPr>
      <w:spacing w:after="0" w:line="240" w:lineRule="auto"/>
    </w:pPr>
    <w:tblPr>
      <w:tblStyleRowBandSize w:val="1"/>
      <w:tblStyleColBandSize w:val="1"/>
    </w:tblPr>
  </w:style>
  <w:style w:type="table" w:customStyle="1" w:styleId="50">
    <w:name w:val="50"/>
    <w:basedOn w:val="Standaardtabel"/>
    <w:pPr>
      <w:spacing w:after="0" w:line="240" w:lineRule="auto"/>
    </w:pPr>
    <w:tblPr>
      <w:tblStyleRowBandSize w:val="1"/>
      <w:tblStyleColBandSize w:val="1"/>
    </w:tblPr>
  </w:style>
  <w:style w:type="table" w:customStyle="1" w:styleId="49">
    <w:name w:val="49"/>
    <w:basedOn w:val="Standaardtabel"/>
    <w:pPr>
      <w:spacing w:after="0" w:line="240" w:lineRule="auto"/>
    </w:pPr>
    <w:tblPr>
      <w:tblStyleRowBandSize w:val="1"/>
      <w:tblStyleColBandSize w:val="1"/>
    </w:tblPr>
  </w:style>
  <w:style w:type="table" w:customStyle="1" w:styleId="48">
    <w:name w:val="48"/>
    <w:basedOn w:val="Standaardtabel"/>
    <w:pPr>
      <w:spacing w:after="0" w:line="240" w:lineRule="auto"/>
    </w:pPr>
    <w:tblPr>
      <w:tblStyleRowBandSize w:val="1"/>
      <w:tblStyleColBandSize w:val="1"/>
    </w:tblPr>
  </w:style>
  <w:style w:type="table" w:customStyle="1" w:styleId="47">
    <w:name w:val="47"/>
    <w:basedOn w:val="Standaardtabel"/>
    <w:tblPr>
      <w:tblStyleRowBandSize w:val="1"/>
      <w:tblStyleColBandSize w:val="1"/>
      <w:tblCellMar>
        <w:left w:w="115" w:type="dxa"/>
        <w:right w:w="115" w:type="dxa"/>
      </w:tblCellMar>
    </w:tblPr>
  </w:style>
  <w:style w:type="table" w:customStyle="1" w:styleId="46">
    <w:name w:val="46"/>
    <w:basedOn w:val="Standaardtabel"/>
    <w:tblPr>
      <w:tblStyleRowBandSize w:val="1"/>
      <w:tblStyleColBandSize w:val="1"/>
      <w:tblCellMar>
        <w:left w:w="115" w:type="dxa"/>
        <w:right w:w="115" w:type="dxa"/>
      </w:tblCellMar>
    </w:tblPr>
  </w:style>
  <w:style w:type="table" w:customStyle="1" w:styleId="45">
    <w:name w:val="45"/>
    <w:basedOn w:val="Standaardtabel"/>
    <w:tblPr>
      <w:tblStyleRowBandSize w:val="1"/>
      <w:tblStyleColBandSize w:val="1"/>
      <w:tblCellMar>
        <w:left w:w="115" w:type="dxa"/>
        <w:right w:w="115" w:type="dxa"/>
      </w:tblCellMar>
    </w:tblPr>
  </w:style>
  <w:style w:type="table" w:customStyle="1" w:styleId="44">
    <w:name w:val="44"/>
    <w:basedOn w:val="Standaardtabel"/>
    <w:tblPr>
      <w:tblStyleRowBandSize w:val="1"/>
      <w:tblStyleColBandSize w:val="1"/>
      <w:tblCellMar>
        <w:left w:w="115" w:type="dxa"/>
        <w:right w:w="115" w:type="dxa"/>
      </w:tblCellMar>
    </w:tblPr>
  </w:style>
  <w:style w:type="table" w:customStyle="1" w:styleId="43">
    <w:name w:val="43"/>
    <w:basedOn w:val="Standaardtabel"/>
    <w:tblPr>
      <w:tblStyleRowBandSize w:val="1"/>
      <w:tblStyleColBandSize w:val="1"/>
      <w:tblCellMar>
        <w:left w:w="115" w:type="dxa"/>
        <w:right w:w="115" w:type="dxa"/>
      </w:tblCellMar>
    </w:tblPr>
  </w:style>
  <w:style w:type="table" w:customStyle="1" w:styleId="42">
    <w:name w:val="42"/>
    <w:basedOn w:val="Standaardtabel"/>
    <w:pPr>
      <w:spacing w:after="0" w:line="240" w:lineRule="auto"/>
    </w:pPr>
    <w:tblPr>
      <w:tblStyleRowBandSize w:val="1"/>
      <w:tblStyleColBandSize w:val="1"/>
    </w:tblPr>
  </w:style>
  <w:style w:type="table" w:customStyle="1" w:styleId="41">
    <w:name w:val="41"/>
    <w:basedOn w:val="Standaardtabel"/>
    <w:pPr>
      <w:spacing w:after="0" w:line="240" w:lineRule="auto"/>
    </w:pPr>
    <w:tblPr>
      <w:tblStyleRowBandSize w:val="1"/>
      <w:tblStyleColBandSize w:val="1"/>
    </w:tblPr>
  </w:style>
  <w:style w:type="table" w:customStyle="1" w:styleId="40">
    <w:name w:val="40"/>
    <w:basedOn w:val="Standaardtabel"/>
    <w:pPr>
      <w:spacing w:after="0" w:line="240" w:lineRule="auto"/>
    </w:pPr>
    <w:tblPr>
      <w:tblStyleRowBandSize w:val="1"/>
      <w:tblStyleColBandSize w:val="1"/>
    </w:tblPr>
  </w:style>
  <w:style w:type="table" w:customStyle="1" w:styleId="39">
    <w:name w:val="39"/>
    <w:basedOn w:val="Standaardtabel"/>
    <w:tblPr>
      <w:tblStyleRowBandSize w:val="1"/>
      <w:tblStyleColBandSize w:val="1"/>
      <w:tblCellMar>
        <w:left w:w="115" w:type="dxa"/>
        <w:right w:w="115" w:type="dxa"/>
      </w:tblCellMar>
    </w:tblPr>
  </w:style>
  <w:style w:type="character" w:customStyle="1" w:styleId="3">
    <w:name w:val="Ανεπίλυτη αναφορά3"/>
    <w:basedOn w:val="Standaardalinea-lettertype"/>
    <w:uiPriority w:val="99"/>
    <w:unhideWhenUsed/>
    <w:rsid w:val="00CC6304"/>
    <w:rPr>
      <w:color w:val="605E5C"/>
      <w:shd w:val="clear" w:color="auto" w:fill="E1DFDD"/>
    </w:rPr>
  </w:style>
  <w:style w:type="character" w:customStyle="1" w:styleId="10">
    <w:name w:val="Αναφορά1"/>
    <w:basedOn w:val="Standaardalinea-lettertype"/>
    <w:uiPriority w:val="99"/>
    <w:unhideWhenUsed/>
    <w:rsid w:val="00CC6304"/>
    <w:rPr>
      <w:color w:val="2B579A"/>
      <w:shd w:val="clear" w:color="auto" w:fill="E1DFDD"/>
    </w:rPr>
  </w:style>
  <w:style w:type="table" w:customStyle="1" w:styleId="38">
    <w:name w:val="38"/>
    <w:basedOn w:val="Standaardtabel"/>
    <w:pPr>
      <w:spacing w:after="0" w:line="240" w:lineRule="auto"/>
    </w:pPr>
    <w:tblPr>
      <w:tblStyleRowBandSize w:val="1"/>
      <w:tblStyleColBandSize w:val="1"/>
      <w:tblCellMar>
        <w:left w:w="115" w:type="dxa"/>
        <w:right w:w="115" w:type="dxa"/>
      </w:tblCellMar>
    </w:tblPr>
  </w:style>
  <w:style w:type="table" w:customStyle="1" w:styleId="37">
    <w:name w:val="37"/>
    <w:basedOn w:val="Standaardtabel"/>
    <w:pPr>
      <w:spacing w:after="0" w:line="240" w:lineRule="auto"/>
    </w:pPr>
    <w:tblPr>
      <w:tblStyleRowBandSize w:val="1"/>
      <w:tblStyleColBandSize w:val="1"/>
      <w:tblCellMar>
        <w:left w:w="115" w:type="dxa"/>
        <w:right w:w="115" w:type="dxa"/>
      </w:tblCellMar>
    </w:tblPr>
  </w:style>
  <w:style w:type="table" w:customStyle="1" w:styleId="36">
    <w:name w:val="36"/>
    <w:basedOn w:val="Standaardtabel"/>
    <w:pPr>
      <w:spacing w:after="0" w:line="240" w:lineRule="auto"/>
    </w:pPr>
    <w:tblPr>
      <w:tblStyleRowBandSize w:val="1"/>
      <w:tblStyleColBandSize w:val="1"/>
      <w:tblCellMar>
        <w:left w:w="115" w:type="dxa"/>
        <w:right w:w="115" w:type="dxa"/>
      </w:tblCellMar>
    </w:tblPr>
  </w:style>
  <w:style w:type="table" w:customStyle="1" w:styleId="35">
    <w:name w:val="35"/>
    <w:basedOn w:val="Standaardtabel"/>
    <w:pPr>
      <w:spacing w:after="0" w:line="240" w:lineRule="auto"/>
    </w:pPr>
    <w:tblPr>
      <w:tblStyleRowBandSize w:val="1"/>
      <w:tblStyleColBandSize w:val="1"/>
      <w:tblCellMar>
        <w:left w:w="115" w:type="dxa"/>
        <w:right w:w="115" w:type="dxa"/>
      </w:tblCellMar>
    </w:tblPr>
  </w:style>
  <w:style w:type="table" w:customStyle="1" w:styleId="34">
    <w:name w:val="34"/>
    <w:basedOn w:val="Standaardtabel"/>
    <w:pPr>
      <w:spacing w:after="0" w:line="240" w:lineRule="auto"/>
    </w:pPr>
    <w:tblPr>
      <w:tblStyleRowBandSize w:val="1"/>
      <w:tblStyleColBandSize w:val="1"/>
      <w:tblCellMar>
        <w:left w:w="115" w:type="dxa"/>
        <w:right w:w="115" w:type="dxa"/>
      </w:tblCellMar>
    </w:tblPr>
  </w:style>
  <w:style w:type="table" w:customStyle="1" w:styleId="33">
    <w:name w:val="33"/>
    <w:basedOn w:val="Standaardtabel"/>
    <w:pPr>
      <w:spacing w:after="0" w:line="240" w:lineRule="auto"/>
    </w:pPr>
    <w:tblPr>
      <w:tblStyleRowBandSize w:val="1"/>
      <w:tblStyleColBandSize w:val="1"/>
      <w:tblCellMar>
        <w:left w:w="115" w:type="dxa"/>
        <w:right w:w="115" w:type="dxa"/>
      </w:tblCellMar>
    </w:tblPr>
  </w:style>
  <w:style w:type="table" w:customStyle="1" w:styleId="32">
    <w:name w:val="32"/>
    <w:basedOn w:val="Standaardtabel"/>
    <w:pPr>
      <w:spacing w:after="0" w:line="240" w:lineRule="auto"/>
    </w:pPr>
    <w:tblPr>
      <w:tblStyleRowBandSize w:val="1"/>
      <w:tblStyleColBandSize w:val="1"/>
      <w:tblCellMar>
        <w:left w:w="115" w:type="dxa"/>
        <w:right w:w="115" w:type="dxa"/>
      </w:tblCellMar>
    </w:tblPr>
  </w:style>
  <w:style w:type="table" w:customStyle="1" w:styleId="31">
    <w:name w:val="31"/>
    <w:basedOn w:val="Standaardtabel"/>
    <w:pPr>
      <w:spacing w:after="0" w:line="240" w:lineRule="auto"/>
    </w:pPr>
    <w:tblPr>
      <w:tblStyleRowBandSize w:val="1"/>
      <w:tblStyleColBandSize w:val="1"/>
      <w:tblCellMar>
        <w:left w:w="115" w:type="dxa"/>
        <w:right w:w="115" w:type="dxa"/>
      </w:tblCellMar>
    </w:tblPr>
  </w:style>
  <w:style w:type="table" w:customStyle="1" w:styleId="30">
    <w:name w:val="30"/>
    <w:basedOn w:val="Standaardtabel"/>
    <w:pPr>
      <w:spacing w:after="0" w:line="240" w:lineRule="auto"/>
    </w:pPr>
    <w:tblPr>
      <w:tblStyleRowBandSize w:val="1"/>
      <w:tblStyleColBandSize w:val="1"/>
      <w:tblCellMar>
        <w:left w:w="115" w:type="dxa"/>
        <w:right w:w="115" w:type="dxa"/>
      </w:tblCellMar>
    </w:tblPr>
  </w:style>
  <w:style w:type="table" w:customStyle="1" w:styleId="29">
    <w:name w:val="29"/>
    <w:basedOn w:val="Standaardtabel"/>
    <w:pPr>
      <w:spacing w:after="0" w:line="240" w:lineRule="auto"/>
    </w:pPr>
    <w:tblPr>
      <w:tblStyleRowBandSize w:val="1"/>
      <w:tblStyleColBandSize w:val="1"/>
      <w:tblCellMar>
        <w:left w:w="115" w:type="dxa"/>
        <w:right w:w="115" w:type="dxa"/>
      </w:tblCellMar>
    </w:tblPr>
  </w:style>
  <w:style w:type="table" w:customStyle="1" w:styleId="28">
    <w:name w:val="28"/>
    <w:basedOn w:val="Standaardtabel"/>
    <w:pPr>
      <w:spacing w:after="0" w:line="240" w:lineRule="auto"/>
    </w:pPr>
    <w:tblPr>
      <w:tblStyleRowBandSize w:val="1"/>
      <w:tblStyleColBandSize w:val="1"/>
      <w:tblCellMar>
        <w:left w:w="115" w:type="dxa"/>
        <w:right w:w="115" w:type="dxa"/>
      </w:tblCellMar>
    </w:tblPr>
  </w:style>
  <w:style w:type="table" w:customStyle="1" w:styleId="27">
    <w:name w:val="27"/>
    <w:basedOn w:val="Standaardtabel"/>
    <w:pPr>
      <w:spacing w:after="0" w:line="240" w:lineRule="auto"/>
    </w:pPr>
    <w:tblPr>
      <w:tblStyleRowBandSize w:val="1"/>
      <w:tblStyleColBandSize w:val="1"/>
      <w:tblCellMar>
        <w:left w:w="115" w:type="dxa"/>
        <w:right w:w="115" w:type="dxa"/>
      </w:tblCellMar>
    </w:tblPr>
  </w:style>
  <w:style w:type="table" w:customStyle="1" w:styleId="26">
    <w:name w:val="26"/>
    <w:basedOn w:val="Standaardtabel"/>
    <w:pPr>
      <w:spacing w:after="0" w:line="240" w:lineRule="auto"/>
    </w:pPr>
    <w:tblPr>
      <w:tblStyleRowBandSize w:val="1"/>
      <w:tblStyleColBandSize w:val="1"/>
      <w:tblCellMar>
        <w:left w:w="115" w:type="dxa"/>
        <w:right w:w="115" w:type="dxa"/>
      </w:tblCellMar>
    </w:tblPr>
  </w:style>
  <w:style w:type="table" w:customStyle="1" w:styleId="25">
    <w:name w:val="25"/>
    <w:basedOn w:val="Standaardtabel"/>
    <w:pPr>
      <w:spacing w:after="0" w:line="240" w:lineRule="auto"/>
    </w:pPr>
    <w:tblPr>
      <w:tblStyleRowBandSize w:val="1"/>
      <w:tblStyleColBandSize w:val="1"/>
      <w:tblCellMar>
        <w:left w:w="115" w:type="dxa"/>
        <w:right w:w="115" w:type="dxa"/>
      </w:tblCellMar>
    </w:tblPr>
  </w:style>
  <w:style w:type="table" w:customStyle="1" w:styleId="24">
    <w:name w:val="24"/>
    <w:basedOn w:val="Standaardtabel"/>
    <w:pPr>
      <w:spacing w:after="0" w:line="240" w:lineRule="auto"/>
    </w:pPr>
    <w:tblPr>
      <w:tblStyleRowBandSize w:val="1"/>
      <w:tblStyleColBandSize w:val="1"/>
      <w:tblCellMar>
        <w:left w:w="115" w:type="dxa"/>
        <w:right w:w="115" w:type="dxa"/>
      </w:tblCellMar>
    </w:tblPr>
  </w:style>
  <w:style w:type="table" w:customStyle="1" w:styleId="23">
    <w:name w:val="23"/>
    <w:basedOn w:val="Standaardtabel"/>
    <w:pPr>
      <w:spacing w:after="0" w:line="240" w:lineRule="auto"/>
    </w:pPr>
    <w:tblPr>
      <w:tblStyleRowBandSize w:val="1"/>
      <w:tblStyleColBandSize w:val="1"/>
      <w:tblCellMar>
        <w:left w:w="115" w:type="dxa"/>
        <w:right w:w="115" w:type="dxa"/>
      </w:tblCellMar>
    </w:tblPr>
  </w:style>
  <w:style w:type="table" w:customStyle="1" w:styleId="22">
    <w:name w:val="22"/>
    <w:basedOn w:val="Standaardtabel"/>
    <w:pPr>
      <w:spacing w:after="0" w:line="240" w:lineRule="auto"/>
    </w:pPr>
    <w:tblPr>
      <w:tblStyleRowBandSize w:val="1"/>
      <w:tblStyleColBandSize w:val="1"/>
      <w:tblCellMar>
        <w:left w:w="115" w:type="dxa"/>
        <w:right w:w="115" w:type="dxa"/>
      </w:tblCellMar>
    </w:tblPr>
  </w:style>
  <w:style w:type="table" w:customStyle="1" w:styleId="21">
    <w:name w:val="21"/>
    <w:basedOn w:val="Standaardtabel"/>
    <w:pPr>
      <w:spacing w:after="0" w:line="240" w:lineRule="auto"/>
    </w:pPr>
    <w:tblPr>
      <w:tblStyleRowBandSize w:val="1"/>
      <w:tblStyleColBandSize w:val="1"/>
      <w:tblCellMar>
        <w:left w:w="115" w:type="dxa"/>
        <w:right w:w="115" w:type="dxa"/>
      </w:tblCellMar>
    </w:tblPr>
  </w:style>
  <w:style w:type="table" w:customStyle="1" w:styleId="20">
    <w:name w:val="20"/>
    <w:basedOn w:val="Standaardtabel"/>
    <w:pPr>
      <w:spacing w:after="0" w:line="240" w:lineRule="auto"/>
    </w:pPr>
    <w:tblPr>
      <w:tblStyleRowBandSize w:val="1"/>
      <w:tblStyleColBandSize w:val="1"/>
      <w:tblCellMar>
        <w:left w:w="115" w:type="dxa"/>
        <w:right w:w="115" w:type="dxa"/>
      </w:tblCellMar>
    </w:tblPr>
  </w:style>
  <w:style w:type="table" w:customStyle="1" w:styleId="19">
    <w:name w:val="19"/>
    <w:basedOn w:val="Standaardtabel"/>
    <w:pPr>
      <w:spacing w:after="0" w:line="240" w:lineRule="auto"/>
    </w:pPr>
    <w:tblPr>
      <w:tblStyleRowBandSize w:val="1"/>
      <w:tblStyleColBandSize w:val="1"/>
      <w:tblCellMar>
        <w:left w:w="115" w:type="dxa"/>
        <w:right w:w="115" w:type="dxa"/>
      </w:tblCellMar>
    </w:tblPr>
  </w:style>
  <w:style w:type="table" w:customStyle="1" w:styleId="18">
    <w:name w:val="18"/>
    <w:basedOn w:val="Standaardtabel"/>
    <w:pPr>
      <w:spacing w:after="0" w:line="240" w:lineRule="auto"/>
    </w:pPr>
    <w:tblPr>
      <w:tblStyleRowBandSize w:val="1"/>
      <w:tblStyleColBandSize w:val="1"/>
      <w:tblCellMar>
        <w:left w:w="115" w:type="dxa"/>
        <w:right w:w="115" w:type="dxa"/>
      </w:tblCellMar>
    </w:tblPr>
  </w:style>
  <w:style w:type="table" w:customStyle="1" w:styleId="17">
    <w:name w:val="17"/>
    <w:basedOn w:val="Standaardtabel"/>
    <w:pPr>
      <w:spacing w:after="0" w:line="240" w:lineRule="auto"/>
    </w:pPr>
    <w:tblPr>
      <w:tblStyleRowBandSize w:val="1"/>
      <w:tblStyleColBandSize w:val="1"/>
      <w:tblCellMar>
        <w:left w:w="115" w:type="dxa"/>
        <w:right w:w="115" w:type="dxa"/>
      </w:tblCellMar>
    </w:tblPr>
  </w:style>
  <w:style w:type="character" w:customStyle="1" w:styleId="Kop5Char">
    <w:name w:val="Kop 5 Char"/>
    <w:basedOn w:val="Standaardalinea-lettertype"/>
    <w:link w:val="Kop5"/>
    <w:uiPriority w:val="9"/>
    <w:rsid w:val="007D044D"/>
    <w:rPr>
      <w:rFonts w:asciiTheme="majorHAnsi" w:eastAsiaTheme="majorEastAsia" w:hAnsiTheme="majorHAnsi" w:cstheme="majorBidi"/>
      <w:color w:val="C45911" w:themeColor="accent2" w:themeShade="BF"/>
      <w:sz w:val="24"/>
      <w:szCs w:val="24"/>
    </w:rPr>
  </w:style>
  <w:style w:type="character" w:customStyle="1" w:styleId="Kop6Char">
    <w:name w:val="Kop 6 Char"/>
    <w:basedOn w:val="Standaardalinea-lettertype"/>
    <w:link w:val="Kop6"/>
    <w:uiPriority w:val="9"/>
    <w:rsid w:val="007D044D"/>
    <w:rPr>
      <w:rFonts w:asciiTheme="majorHAnsi" w:eastAsiaTheme="majorEastAsia" w:hAnsiTheme="majorHAnsi" w:cstheme="majorBidi"/>
      <w:i/>
      <w:iCs/>
      <w:color w:val="833C0B" w:themeColor="accent2" w:themeShade="80"/>
      <w:sz w:val="24"/>
      <w:szCs w:val="24"/>
    </w:rPr>
  </w:style>
  <w:style w:type="character" w:customStyle="1" w:styleId="Kop7Char">
    <w:name w:val="Kop 7 Char"/>
    <w:basedOn w:val="Standaardalinea-lettertype"/>
    <w:link w:val="Kop7"/>
    <w:uiPriority w:val="9"/>
    <w:semiHidden/>
    <w:rsid w:val="007D044D"/>
    <w:rPr>
      <w:rFonts w:asciiTheme="majorHAnsi" w:eastAsiaTheme="majorEastAsia" w:hAnsiTheme="majorHAnsi" w:cstheme="majorBidi"/>
      <w:b/>
      <w:bCs/>
      <w:color w:val="833C0B" w:themeColor="accent2" w:themeShade="80"/>
      <w:sz w:val="22"/>
      <w:szCs w:val="22"/>
    </w:rPr>
  </w:style>
  <w:style w:type="character" w:customStyle="1" w:styleId="Kop8Char">
    <w:name w:val="Kop 8 Char"/>
    <w:basedOn w:val="Standaardalinea-lettertype"/>
    <w:link w:val="Kop8"/>
    <w:uiPriority w:val="9"/>
    <w:semiHidden/>
    <w:rsid w:val="007D044D"/>
    <w:rPr>
      <w:rFonts w:asciiTheme="majorHAnsi" w:eastAsiaTheme="majorEastAsia" w:hAnsiTheme="majorHAnsi" w:cstheme="majorBidi"/>
      <w:color w:val="833C0B" w:themeColor="accent2" w:themeShade="80"/>
      <w:sz w:val="22"/>
      <w:szCs w:val="22"/>
    </w:rPr>
  </w:style>
  <w:style w:type="character" w:customStyle="1" w:styleId="Kop9Char">
    <w:name w:val="Kop 9 Char"/>
    <w:basedOn w:val="Standaardalinea-lettertype"/>
    <w:link w:val="Kop9"/>
    <w:uiPriority w:val="9"/>
    <w:semiHidden/>
    <w:rsid w:val="007D044D"/>
    <w:rPr>
      <w:rFonts w:asciiTheme="majorHAnsi" w:eastAsiaTheme="majorEastAsia" w:hAnsiTheme="majorHAnsi" w:cstheme="majorBidi"/>
      <w:i/>
      <w:iCs/>
      <w:color w:val="833C0B" w:themeColor="accent2" w:themeShade="80"/>
      <w:sz w:val="22"/>
      <w:szCs w:val="22"/>
    </w:rPr>
  </w:style>
  <w:style w:type="paragraph" w:styleId="Bijschrift">
    <w:name w:val="caption"/>
    <w:basedOn w:val="Standaard"/>
    <w:next w:val="Standaard"/>
    <w:uiPriority w:val="35"/>
    <w:semiHidden/>
    <w:unhideWhenUsed/>
    <w:qFormat/>
    <w:rsid w:val="007D044D"/>
    <w:pPr>
      <w:spacing w:line="240" w:lineRule="auto"/>
    </w:pPr>
    <w:rPr>
      <w:b/>
      <w:bCs/>
      <w:color w:val="404040" w:themeColor="text1" w:themeTint="BF"/>
      <w:sz w:val="16"/>
      <w:szCs w:val="16"/>
    </w:rPr>
  </w:style>
  <w:style w:type="paragraph" w:styleId="Citaat">
    <w:name w:val="Quote"/>
    <w:basedOn w:val="Standaard"/>
    <w:next w:val="Standaard"/>
    <w:link w:val="CitaatChar"/>
    <w:uiPriority w:val="29"/>
    <w:qFormat/>
    <w:rsid w:val="007D044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atChar">
    <w:name w:val="Citaat Char"/>
    <w:basedOn w:val="Standaardalinea-lettertype"/>
    <w:link w:val="Citaat"/>
    <w:uiPriority w:val="29"/>
    <w:rsid w:val="007D044D"/>
    <w:rPr>
      <w:rFonts w:asciiTheme="majorHAnsi" w:eastAsiaTheme="majorEastAsia" w:hAnsiTheme="majorHAnsi" w:cstheme="majorBidi"/>
      <w:color w:val="000000" w:themeColor="text1"/>
      <w:sz w:val="24"/>
      <w:szCs w:val="24"/>
    </w:rPr>
  </w:style>
  <w:style w:type="character" w:styleId="Subtielebenadrukking">
    <w:name w:val="Subtle Emphasis"/>
    <w:basedOn w:val="Standaardalinea-lettertype"/>
    <w:uiPriority w:val="19"/>
    <w:qFormat/>
    <w:rsid w:val="007D044D"/>
    <w:rPr>
      <w:i/>
      <w:iCs/>
      <w:color w:val="595959" w:themeColor="text1" w:themeTint="A6"/>
    </w:rPr>
  </w:style>
  <w:style w:type="table" w:customStyle="1" w:styleId="5-51">
    <w:name w:val="Πίνακας 5 με σκούρο πλέγμα - Έμφαση 51"/>
    <w:basedOn w:val="Standaardtabel"/>
    <w:uiPriority w:val="50"/>
    <w:rsid w:val="009728C4"/>
    <w:pPr>
      <w:spacing w:after="0" w:line="240" w:lineRule="auto"/>
    </w:pPr>
    <w:rPr>
      <w:sz w:val="20"/>
      <w:szCs w:val="20"/>
      <w:lang w:val="el-G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Default">
    <w:name w:val="Default"/>
    <w:rsid w:val="00FB19C0"/>
    <w:pPr>
      <w:autoSpaceDE w:val="0"/>
      <w:autoSpaceDN w:val="0"/>
      <w:adjustRightInd w:val="0"/>
      <w:spacing w:after="0" w:line="240" w:lineRule="auto"/>
    </w:pPr>
    <w:rPr>
      <w:color w:val="000000"/>
      <w:sz w:val="24"/>
      <w:szCs w:val="24"/>
      <w:lang w:val="el-GR"/>
    </w:rPr>
  </w:style>
  <w:style w:type="paragraph" w:styleId="Normaalweb">
    <w:name w:val="Normal (Web)"/>
    <w:basedOn w:val="Standaard"/>
    <w:uiPriority w:val="99"/>
    <w:semiHidden/>
    <w:unhideWhenUsed/>
    <w:rsid w:val="001E6806"/>
    <w:pPr>
      <w:spacing w:before="100" w:beforeAutospacing="1" w:after="100" w:afterAutospacing="1" w:line="240" w:lineRule="auto"/>
    </w:pPr>
    <w:rPr>
      <w:rFonts w:ascii="Times New Roman" w:eastAsia="Times New Roman" w:hAnsi="Times New Roman" w:cs="Times New Roman"/>
      <w:sz w:val="24"/>
      <w:szCs w:val="24"/>
      <w:lang w:val="el-GR"/>
    </w:rPr>
  </w:style>
  <w:style w:type="character" w:styleId="Onopgelostemelding">
    <w:name w:val="Unresolved Mention"/>
    <w:basedOn w:val="Standaardalinea-lettertype"/>
    <w:uiPriority w:val="99"/>
    <w:semiHidden/>
    <w:unhideWhenUsed/>
    <w:rsid w:val="001E6806"/>
    <w:rPr>
      <w:color w:val="605E5C"/>
      <w:shd w:val="clear" w:color="auto" w:fill="E1DFDD"/>
    </w:rPr>
  </w:style>
  <w:style w:type="character" w:customStyle="1" w:styleId="LijstalineaChar">
    <w:name w:val="Lijstalinea Char"/>
    <w:aliases w:val="Puntos Char"/>
    <w:basedOn w:val="Standaardalinea-lettertype"/>
    <w:link w:val="Lijstalinea"/>
    <w:uiPriority w:val="34"/>
    <w:rsid w:val="004323A6"/>
  </w:style>
  <w:style w:type="paragraph" w:styleId="Inhopg4">
    <w:name w:val="toc 4"/>
    <w:basedOn w:val="Standaard"/>
    <w:next w:val="Standaard"/>
    <w:autoRedefine/>
    <w:uiPriority w:val="39"/>
    <w:unhideWhenUsed/>
    <w:rsid w:val="00D06A45"/>
    <w:pPr>
      <w:spacing w:after="100"/>
      <w:ind w:left="630"/>
    </w:pPr>
  </w:style>
  <w:style w:type="character" w:customStyle="1" w:styleId="A9">
    <w:name w:val="A9"/>
    <w:uiPriority w:val="99"/>
    <w:rsid w:val="00857190"/>
    <w:rPr>
      <w:b/>
      <w:bCs/>
      <w:color w:val="000000"/>
    </w:rPr>
  </w:style>
  <w:style w:type="character" w:customStyle="1" w:styleId="A10">
    <w:name w:val="A10"/>
    <w:uiPriority w:val="99"/>
    <w:rsid w:val="00857190"/>
    <w:rPr>
      <w:b/>
      <w:bCs/>
      <w:color w:val="000000"/>
      <w:u w:val="single"/>
    </w:rPr>
  </w:style>
  <w:style w:type="table" w:styleId="Rastertabel5donker-Accent2">
    <w:name w:val="Grid Table 5 Dark Accent 2"/>
    <w:basedOn w:val="Standaardtabel"/>
    <w:uiPriority w:val="50"/>
    <w:rsid w:val="00A3096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GevolgdeHyperlink">
    <w:name w:val="FollowedHyperlink"/>
    <w:basedOn w:val="Standaardalinea-lettertype"/>
    <w:uiPriority w:val="99"/>
    <w:semiHidden/>
    <w:unhideWhenUsed/>
    <w:rsid w:val="00EA36F3"/>
    <w:rPr>
      <w:color w:val="954F72" w:themeColor="followedHyperlink"/>
      <w:u w:val="single"/>
    </w:rPr>
  </w:style>
  <w:style w:type="paragraph" w:styleId="Revisie">
    <w:name w:val="Revision"/>
    <w:hidden/>
    <w:uiPriority w:val="99"/>
    <w:semiHidden/>
    <w:rsid w:val="00C14A6A"/>
    <w:pPr>
      <w:spacing w:after="0" w:line="240" w:lineRule="auto"/>
    </w:pPr>
  </w:style>
  <w:style w:type="table" w:customStyle="1" w:styleId="16">
    <w:name w:val="16"/>
    <w:basedOn w:val="Standaardtabel"/>
    <w:pPr>
      <w:spacing w:after="0" w:line="240" w:lineRule="auto"/>
    </w:pPr>
    <w:rPr>
      <w:sz w:val="20"/>
      <w:szCs w:val="20"/>
    </w:rPr>
    <w:tblPr>
      <w:tblStyleRowBandSize w:val="1"/>
      <w:tblStyleColBandSize w:val="1"/>
      <w:tblCellMar>
        <w:left w:w="115" w:type="dxa"/>
        <w:right w:w="115" w:type="dxa"/>
      </w:tblCellMar>
    </w:tblPr>
    <w:tcPr>
      <w:shd w:val="clear" w:color="auto" w:fill="FBE5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table" w:customStyle="1" w:styleId="15">
    <w:name w:val="15"/>
    <w:basedOn w:val="Standaardtabel"/>
    <w:tblPr>
      <w:tblStyleRowBandSize w:val="1"/>
      <w:tblStyleColBandSize w:val="1"/>
      <w:tblCellMar>
        <w:left w:w="115" w:type="dxa"/>
        <w:right w:w="115" w:type="dxa"/>
      </w:tblCellMar>
    </w:tblPr>
  </w:style>
  <w:style w:type="table" w:customStyle="1" w:styleId="14">
    <w:name w:val="14"/>
    <w:basedOn w:val="Standaardtabel"/>
    <w:tblPr>
      <w:tblStyleRowBandSize w:val="1"/>
      <w:tblStyleColBandSize w:val="1"/>
      <w:tblCellMar>
        <w:left w:w="115" w:type="dxa"/>
        <w:right w:w="115" w:type="dxa"/>
      </w:tblCellMar>
    </w:tblPr>
  </w:style>
  <w:style w:type="table" w:customStyle="1" w:styleId="13">
    <w:name w:val="13"/>
    <w:basedOn w:val="Standaardtabel"/>
    <w:tblPr>
      <w:tblStyleRowBandSize w:val="1"/>
      <w:tblStyleColBandSize w:val="1"/>
      <w:tblCellMar>
        <w:left w:w="115" w:type="dxa"/>
        <w:right w:w="115" w:type="dxa"/>
      </w:tblCellMar>
    </w:tblPr>
  </w:style>
  <w:style w:type="table" w:customStyle="1" w:styleId="12">
    <w:name w:val="12"/>
    <w:basedOn w:val="Standaardtabel"/>
    <w:tblPr>
      <w:tblStyleRowBandSize w:val="1"/>
      <w:tblStyleColBandSize w:val="1"/>
      <w:tblCellMar>
        <w:left w:w="115" w:type="dxa"/>
        <w:right w:w="115" w:type="dxa"/>
      </w:tblCellMar>
    </w:tblPr>
  </w:style>
  <w:style w:type="table" w:customStyle="1" w:styleId="11">
    <w:name w:val="11"/>
    <w:basedOn w:val="Standaardtabel"/>
    <w:tblPr>
      <w:tblStyleRowBandSize w:val="1"/>
      <w:tblStyleColBandSize w:val="1"/>
      <w:tblCellMar>
        <w:left w:w="115" w:type="dxa"/>
        <w:right w:w="115" w:type="dxa"/>
      </w:tblCellMar>
    </w:tblPr>
  </w:style>
  <w:style w:type="table" w:customStyle="1" w:styleId="100">
    <w:name w:val="10"/>
    <w:basedOn w:val="Standaardtabel"/>
    <w:pPr>
      <w:spacing w:after="0" w:line="240" w:lineRule="auto"/>
    </w:pPr>
    <w:rPr>
      <w:sz w:val="20"/>
      <w:szCs w:val="20"/>
    </w:rPr>
    <w:tblPr>
      <w:tblStyleRowBandSize w:val="1"/>
      <w:tblStyleColBandSize w:val="1"/>
      <w:tblCellMar>
        <w:left w:w="115" w:type="dxa"/>
        <w:right w:w="115" w:type="dxa"/>
      </w:tblCellMar>
    </w:tblPr>
    <w:tcPr>
      <w:shd w:val="clear" w:color="auto" w:fill="FBE5D5"/>
    </w:tcPr>
  </w:style>
  <w:style w:type="table" w:customStyle="1" w:styleId="9">
    <w:name w:val="9"/>
    <w:basedOn w:val="Standaardtabel"/>
    <w:pPr>
      <w:spacing w:after="0" w:line="240" w:lineRule="auto"/>
    </w:pPr>
    <w:rPr>
      <w:sz w:val="20"/>
      <w:szCs w:val="20"/>
    </w:rPr>
    <w:tblPr>
      <w:tblStyleRowBandSize w:val="1"/>
      <w:tblStyleColBandSize w:val="1"/>
      <w:tblCellMar>
        <w:left w:w="115" w:type="dxa"/>
        <w:right w:w="115" w:type="dxa"/>
      </w:tblCellMar>
    </w:tblPr>
    <w:tcPr>
      <w:shd w:val="clear" w:color="auto" w:fill="FBE5D5"/>
    </w:tcPr>
  </w:style>
  <w:style w:type="table" w:customStyle="1" w:styleId="8">
    <w:name w:val="8"/>
    <w:basedOn w:val="Standaardtabel"/>
    <w:pPr>
      <w:spacing w:after="0" w:line="240" w:lineRule="auto"/>
    </w:pPr>
    <w:rPr>
      <w:sz w:val="20"/>
      <w:szCs w:val="20"/>
    </w:rPr>
    <w:tblPr>
      <w:tblStyleRowBandSize w:val="1"/>
      <w:tblStyleColBandSize w:val="1"/>
      <w:tblCellMar>
        <w:left w:w="115" w:type="dxa"/>
        <w:right w:w="115" w:type="dxa"/>
      </w:tblCellMar>
    </w:tblPr>
    <w:tcPr>
      <w:shd w:val="clear" w:color="auto" w:fill="FBE5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table" w:customStyle="1" w:styleId="7">
    <w:name w:val="7"/>
    <w:basedOn w:val="Standaardtabel"/>
    <w:pPr>
      <w:spacing w:after="0" w:line="240" w:lineRule="auto"/>
    </w:pPr>
    <w:rPr>
      <w:sz w:val="20"/>
      <w:szCs w:val="20"/>
    </w:rPr>
    <w:tblPr>
      <w:tblStyleRowBandSize w:val="1"/>
      <w:tblStyleColBandSize w:val="1"/>
      <w:tblCellMar>
        <w:left w:w="115" w:type="dxa"/>
        <w:right w:w="115" w:type="dxa"/>
      </w:tblCellMar>
    </w:tblPr>
    <w:tcPr>
      <w:shd w:val="clear" w:color="auto" w:fill="FBE5D5"/>
    </w:tcPr>
  </w:style>
  <w:style w:type="table" w:customStyle="1" w:styleId="6">
    <w:name w:val="6"/>
    <w:basedOn w:val="Standaardtabel"/>
    <w:pPr>
      <w:spacing w:after="0" w:line="240" w:lineRule="auto"/>
    </w:pPr>
    <w:rPr>
      <w:sz w:val="20"/>
      <w:szCs w:val="20"/>
    </w:rPr>
    <w:tblPr>
      <w:tblStyleRowBandSize w:val="1"/>
      <w:tblStyleColBandSize w:val="1"/>
      <w:tblCellMar>
        <w:left w:w="115" w:type="dxa"/>
        <w:right w:w="115" w:type="dxa"/>
      </w:tblCellMar>
    </w:tblPr>
    <w:tcPr>
      <w:shd w:val="clear" w:color="auto" w:fill="FBE5D5"/>
    </w:tcPr>
  </w:style>
  <w:style w:type="table" w:customStyle="1" w:styleId="5">
    <w:name w:val="5"/>
    <w:basedOn w:val="Standaardtabel"/>
    <w:pPr>
      <w:spacing w:after="0" w:line="240" w:lineRule="auto"/>
    </w:pPr>
    <w:rPr>
      <w:sz w:val="20"/>
      <w:szCs w:val="20"/>
    </w:rPr>
    <w:tblPr>
      <w:tblStyleRowBandSize w:val="1"/>
      <w:tblStyleColBandSize w:val="1"/>
      <w:tblCellMar>
        <w:left w:w="115" w:type="dxa"/>
        <w:right w:w="115" w:type="dxa"/>
      </w:tblCellMar>
    </w:tblPr>
    <w:tcPr>
      <w:shd w:val="clear" w:color="auto" w:fill="FBE5D5"/>
    </w:tcPr>
  </w:style>
  <w:style w:type="table" w:customStyle="1" w:styleId="4">
    <w:name w:val="4"/>
    <w:basedOn w:val="Standaardtabel"/>
    <w:pPr>
      <w:spacing w:after="0" w:line="240" w:lineRule="auto"/>
    </w:pPr>
    <w:rPr>
      <w:sz w:val="20"/>
      <w:szCs w:val="20"/>
    </w:rPr>
    <w:tblPr>
      <w:tblStyleRowBandSize w:val="1"/>
      <w:tblStyleColBandSize w:val="1"/>
      <w:tblCellMar>
        <w:left w:w="115" w:type="dxa"/>
        <w:right w:w="115" w:type="dxa"/>
      </w:tblCellMar>
    </w:tblPr>
    <w:tcPr>
      <w:shd w:val="clear" w:color="auto" w:fill="FBE5D5"/>
    </w:tcPr>
  </w:style>
  <w:style w:type="table" w:customStyle="1" w:styleId="3a">
    <w:name w:val="3"/>
    <w:basedOn w:val="Standaardtabel"/>
    <w:pPr>
      <w:spacing w:after="0" w:line="240" w:lineRule="auto"/>
    </w:pPr>
    <w:rPr>
      <w:sz w:val="20"/>
      <w:szCs w:val="20"/>
    </w:rPr>
    <w:tblPr>
      <w:tblStyleRowBandSize w:val="1"/>
      <w:tblStyleColBandSize w:val="1"/>
      <w:tblCellMar>
        <w:left w:w="115" w:type="dxa"/>
        <w:right w:w="115" w:type="dxa"/>
      </w:tblCellMar>
    </w:tblPr>
    <w:tcPr>
      <w:shd w:val="clear" w:color="auto" w:fill="FBE5D5"/>
    </w:tcPr>
  </w:style>
  <w:style w:type="table" w:customStyle="1" w:styleId="2a">
    <w:name w:val="2"/>
    <w:basedOn w:val="Standaardtabel"/>
    <w:pPr>
      <w:spacing w:after="0" w:line="240" w:lineRule="auto"/>
    </w:pPr>
    <w:rPr>
      <w:sz w:val="20"/>
      <w:szCs w:val="20"/>
    </w:rPr>
    <w:tblPr>
      <w:tblStyleRowBandSize w:val="1"/>
      <w:tblStyleColBandSize w:val="1"/>
      <w:tblCellMar>
        <w:left w:w="115" w:type="dxa"/>
        <w:right w:w="115" w:type="dxa"/>
      </w:tblCellMar>
    </w:tblPr>
    <w:tcPr>
      <w:shd w:val="clear" w:color="auto" w:fill="FBE5D5"/>
    </w:tcPr>
  </w:style>
  <w:style w:type="table" w:customStyle="1" w:styleId="1a">
    <w:name w:val="1"/>
    <w:basedOn w:val="Standaardtabel"/>
    <w:pPr>
      <w:spacing w:after="0" w:line="240" w:lineRule="auto"/>
    </w:pPr>
    <w:rPr>
      <w:sz w:val="20"/>
      <w:szCs w:val="20"/>
    </w:rPr>
    <w:tblPr>
      <w:tblStyleRowBandSize w:val="1"/>
      <w:tblStyleColBandSize w:val="1"/>
      <w:tblCellMar>
        <w:left w:w="115" w:type="dxa"/>
        <w:right w:w="115" w:type="dxa"/>
      </w:tblCellMar>
    </w:tblPr>
    <w:tcPr>
      <w:shd w:val="clear" w:color="auto" w:fill="FBE5D5"/>
    </w:tcPr>
  </w:style>
  <w:style w:type="table" w:styleId="Rastertabel4-Accent1">
    <w:name w:val="Grid Table 4 Accent 1"/>
    <w:basedOn w:val="Standaardtabel"/>
    <w:uiPriority w:val="49"/>
    <w:rsid w:val="008D5554"/>
    <w:pPr>
      <w:spacing w:after="0" w:line="240" w:lineRule="auto"/>
    </w:pPr>
    <w:rPr>
      <w:rFonts w:ascii="Segoe UI" w:eastAsiaTheme="minorHAnsi" w:hAnsi="Segoe UI" w:cstheme="minorBidi"/>
      <w:color w:val="FFFFFF" w:themeColor="background1"/>
      <w:sz w:val="22"/>
      <w:szCs w:val="22"/>
      <w:lang w:val="en-US"/>
    </w:rPr>
    <w:tblPr>
      <w:tblStyleRowBandSize w:val="1"/>
      <w:tblStyleColBandSize w:val="1"/>
      <w:tblBorders>
        <w:top w:val="single" w:sz="4" w:space="0" w:color="673B97"/>
        <w:left w:val="single" w:sz="4" w:space="0" w:color="673B97"/>
        <w:bottom w:val="single" w:sz="4" w:space="0" w:color="673B97"/>
        <w:right w:val="single" w:sz="4" w:space="0" w:color="673B97"/>
        <w:insideH w:val="single" w:sz="4" w:space="0" w:color="673B97"/>
        <w:insideV w:val="single" w:sz="4" w:space="0" w:color="673B97"/>
      </w:tblBorders>
      <w:tblCellMar>
        <w:top w:w="85" w:type="dxa"/>
        <w:left w:w="85" w:type="dxa"/>
        <w:bottom w:w="85" w:type="dxa"/>
        <w:right w:w="85" w:type="dxa"/>
      </w:tblCellMar>
    </w:tblPr>
    <w:tcPr>
      <w:shd w:val="clear" w:color="auto" w:fill="auto"/>
      <w:vAlign w:val="center"/>
    </w:tcPr>
    <w:tblStylePr w:type="firstRow">
      <w:pPr>
        <w:wordWrap/>
        <w:spacing w:beforeLines="0" w:afterLines="0" w:line="240" w:lineRule="auto"/>
        <w:jc w:val="left"/>
      </w:pPr>
      <w:rPr>
        <w:rFonts w:ascii="Candara" w:hAnsi="Candara"/>
        <w:b w:val="0"/>
        <w:bCs/>
        <w:i w:val="0"/>
        <w:color w:val="auto"/>
        <w:sz w:val="22"/>
      </w:rPr>
      <w:tblPr/>
      <w:tcPr>
        <w:tcBorders>
          <w:top w:val="single" w:sz="4" w:space="0" w:color="673B97"/>
          <w:left w:val="single" w:sz="4" w:space="0" w:color="673B97"/>
          <w:bottom w:val="single" w:sz="4" w:space="0" w:color="673B97"/>
          <w:right w:val="single" w:sz="4" w:space="0" w:color="673B97"/>
          <w:insideH w:val="single" w:sz="4" w:space="0" w:color="673B97"/>
          <w:insideV w:val="single" w:sz="4" w:space="0" w:color="673B97"/>
        </w:tcBorders>
        <w:shd w:val="clear" w:color="auto" w:fill="673B97"/>
      </w:tcPr>
    </w:tblStylePr>
    <w:tblStylePr w:type="lastRow">
      <w:pPr>
        <w:jc w:val="left"/>
      </w:pPr>
      <w:rPr>
        <w:b/>
        <w:bCs/>
      </w:rPr>
      <w:tblPr/>
      <w:tcPr>
        <w:tcBorders>
          <w:top w:val="double" w:sz="4" w:space="0" w:color="5B9BD5" w:themeColor="accent1"/>
        </w:tcBorders>
      </w:tcPr>
    </w:tblStylePr>
    <w:tblStylePr w:type="firstCol">
      <w:pPr>
        <w:jc w:val="left"/>
      </w:pPr>
      <w:rPr>
        <w:b w:val="0"/>
        <w:bCs/>
      </w:rPr>
    </w:tblStylePr>
    <w:tblStylePr w:type="lastCol">
      <w:pPr>
        <w:jc w:val="left"/>
      </w:pPr>
      <w:rPr>
        <w:b/>
        <w:bCs/>
      </w:rPr>
    </w:tblStylePr>
    <w:tblStylePr w:type="band1Vert">
      <w:pPr>
        <w:jc w:val="left"/>
      </w:pPr>
      <w:tblPr/>
      <w:tcPr>
        <w:shd w:val="clear" w:color="auto" w:fill="FFFBE8"/>
      </w:tcPr>
    </w:tblStylePr>
    <w:tblStylePr w:type="band2Vert">
      <w:pPr>
        <w:jc w:val="left"/>
      </w:pPr>
    </w:tblStylePr>
    <w:tblStylePr w:type="band1Horz">
      <w:pPr>
        <w:jc w:val="left"/>
      </w:pPr>
      <w:tblPr/>
      <w:tcPr>
        <w:shd w:val="clear" w:color="auto" w:fill="FFFBE8"/>
      </w:tcPr>
    </w:tblStylePr>
    <w:tblStylePr w:type="band2Horz">
      <w:pPr>
        <w:jc w:val="left"/>
      </w:pPr>
    </w:tblStylePr>
    <w:tblStylePr w:type="neCell">
      <w:pPr>
        <w:jc w:val="left"/>
      </w:pPr>
    </w:tblStylePr>
    <w:tblStylePr w:type="nwCell">
      <w:pPr>
        <w:jc w:val="left"/>
      </w:pPr>
      <w:rPr>
        <w:rFonts w:ascii="Candara" w:hAnsi="Candara"/>
      </w:rPr>
    </w:tblStylePr>
    <w:tblStylePr w:type="seCell">
      <w:pPr>
        <w:jc w:val="left"/>
      </w:pPr>
    </w:tblStylePr>
    <w:tblStylePr w:type="swCell">
      <w:pPr>
        <w:jc w:val="left"/>
      </w:pPr>
    </w:tblStylePr>
  </w:style>
  <w:style w:type="table" w:customStyle="1" w:styleId="a">
    <w:basedOn w:val="TableNormal1"/>
    <w:pPr>
      <w:spacing w:after="0" w:line="240" w:lineRule="auto"/>
    </w:pPr>
    <w:rPr>
      <w:rFonts w:ascii="Quattrocento Sans" w:eastAsia="Quattrocento Sans" w:hAnsi="Quattrocento Sans" w:cs="Quattrocento Sans"/>
      <w:color w:val="FFFFFF"/>
      <w:sz w:val="22"/>
      <w:szCs w:val="22"/>
    </w:rPr>
    <w:tblPr>
      <w:tblStyleRowBandSize w:val="1"/>
      <w:tblStyleColBandSize w:val="1"/>
      <w:tblCellMar>
        <w:left w:w="115" w:type="dxa"/>
        <w:right w:w="115" w:type="dxa"/>
      </w:tblCellMar>
    </w:tblPr>
    <w:tcPr>
      <w:shd w:val="clear" w:color="auto" w:fill="auto"/>
      <w:vAlign w:val="center"/>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table" w:customStyle="1" w:styleId="a0">
    <w:basedOn w:val="TableNormal1"/>
    <w:pPr>
      <w:spacing w:after="0" w:line="240" w:lineRule="auto"/>
    </w:pPr>
    <w:rPr>
      <w:rFonts w:ascii="Quattrocento Sans" w:eastAsia="Quattrocento Sans" w:hAnsi="Quattrocento Sans" w:cs="Quattrocento Sans"/>
      <w:color w:val="FFFFFF"/>
      <w:sz w:val="22"/>
      <w:szCs w:val="22"/>
    </w:rPr>
    <w:tblPr>
      <w:tblStyleRowBandSize w:val="1"/>
      <w:tblStyleColBandSize w:val="1"/>
      <w:tblCellMar>
        <w:left w:w="115" w:type="dxa"/>
        <w:right w:w="115" w:type="dxa"/>
      </w:tblCellMar>
    </w:tblPr>
    <w:tcPr>
      <w:shd w:val="clear" w:color="auto" w:fill="auto"/>
      <w:vAlign w:val="center"/>
    </w:tcPr>
  </w:style>
  <w:style w:type="table" w:customStyle="1" w:styleId="a1">
    <w:basedOn w:val="TableNormal1"/>
    <w:pPr>
      <w:spacing w:after="0" w:line="240" w:lineRule="auto"/>
    </w:pPr>
    <w:rPr>
      <w:rFonts w:ascii="Quattrocento Sans" w:eastAsia="Quattrocento Sans" w:hAnsi="Quattrocento Sans" w:cs="Quattrocento Sans"/>
      <w:color w:val="FFFFFF"/>
      <w:sz w:val="22"/>
      <w:szCs w:val="22"/>
    </w:rPr>
    <w:tblPr>
      <w:tblStyleRowBandSize w:val="1"/>
      <w:tblStyleColBandSize w:val="1"/>
      <w:tblCellMar>
        <w:left w:w="115" w:type="dxa"/>
        <w:right w:w="115" w:type="dxa"/>
      </w:tblCellMar>
    </w:tblPr>
    <w:tcPr>
      <w:shd w:val="clear" w:color="auto" w:fill="auto"/>
      <w:vAlign w:val="center"/>
    </w:tc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Quattrocento Sans" w:eastAsia="Quattrocento Sans" w:hAnsi="Quattrocento Sans" w:cs="Quattrocento Sans"/>
      <w:color w:val="FFFFFF"/>
      <w:sz w:val="22"/>
      <w:szCs w:val="22"/>
    </w:rPr>
    <w:tblPr>
      <w:tblStyleRowBandSize w:val="1"/>
      <w:tblStyleColBandSize w:val="1"/>
      <w:tblCellMar>
        <w:left w:w="115" w:type="dxa"/>
        <w:right w:w="115" w:type="dxa"/>
      </w:tblCellMar>
    </w:tblPr>
    <w:tcPr>
      <w:shd w:val="clear" w:color="auto" w:fill="auto"/>
      <w:vAlign w:val="center"/>
    </w:tcPr>
  </w:style>
  <w:style w:type="table" w:customStyle="1" w:styleId="a7">
    <w:basedOn w:val="Standaardtabel"/>
    <w:pPr>
      <w:spacing w:after="0" w:line="240" w:lineRule="auto"/>
    </w:pPr>
    <w:rPr>
      <w:rFonts w:ascii="Quattrocento Sans" w:eastAsia="Quattrocento Sans" w:hAnsi="Quattrocento Sans" w:cs="Quattrocento Sans"/>
      <w:color w:val="FFFFFF"/>
      <w:sz w:val="22"/>
      <w:szCs w:val="22"/>
    </w:rPr>
    <w:tblPr>
      <w:tblStyleRowBandSize w:val="1"/>
      <w:tblStyleColBandSize w:val="1"/>
      <w:tblCellMar>
        <w:left w:w="115" w:type="dxa"/>
        <w:right w:w="115" w:type="dxa"/>
      </w:tblCellMar>
    </w:tblPr>
    <w:tcPr>
      <w:shd w:val="clear" w:color="auto" w:fill="auto"/>
      <w:vAlign w:val="center"/>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table" w:customStyle="1" w:styleId="a8">
    <w:basedOn w:val="Standaardtabel"/>
    <w:pPr>
      <w:spacing w:after="0" w:line="240" w:lineRule="auto"/>
    </w:pPr>
    <w:rPr>
      <w:rFonts w:ascii="Quattrocento Sans" w:eastAsia="Quattrocento Sans" w:hAnsi="Quattrocento Sans" w:cs="Quattrocento Sans"/>
      <w:color w:val="FFFFFF"/>
      <w:sz w:val="22"/>
      <w:szCs w:val="22"/>
    </w:rPr>
    <w:tblPr>
      <w:tblStyleRowBandSize w:val="1"/>
      <w:tblStyleColBandSize w:val="1"/>
      <w:tblCellMar>
        <w:left w:w="115" w:type="dxa"/>
        <w:right w:w="115" w:type="dxa"/>
      </w:tblCellMar>
    </w:tblPr>
    <w:tcPr>
      <w:shd w:val="clear" w:color="auto" w:fill="auto"/>
      <w:vAlign w:val="center"/>
    </w:tcPr>
  </w:style>
  <w:style w:type="table" w:customStyle="1" w:styleId="aa">
    <w:basedOn w:val="Standaardtabel"/>
    <w:pPr>
      <w:spacing w:after="0" w:line="240" w:lineRule="auto"/>
    </w:pPr>
    <w:rPr>
      <w:rFonts w:ascii="Quattrocento Sans" w:eastAsia="Quattrocento Sans" w:hAnsi="Quattrocento Sans" w:cs="Quattrocento Sans"/>
      <w:color w:val="FFFFFF"/>
      <w:sz w:val="22"/>
      <w:szCs w:val="22"/>
    </w:rPr>
    <w:tblPr>
      <w:tblStyleRowBandSize w:val="1"/>
      <w:tblStyleColBandSize w:val="1"/>
      <w:tblCellMar>
        <w:left w:w="115" w:type="dxa"/>
        <w:right w:w="115" w:type="dxa"/>
      </w:tblCellMar>
    </w:tblPr>
    <w:tcPr>
      <w:shd w:val="clear" w:color="auto" w:fill="auto"/>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cgb.lu/fr/le-lcgb/mission/" TargetMode="External"/><Relationship Id="rId18" Type="http://schemas.openxmlformats.org/officeDocument/2006/relationships/image" Target="media/image3.png"/><Relationship Id="rId26" Type="http://schemas.openxmlformats.org/officeDocument/2006/relationships/hyperlink" Target="https://imslux.lu/eng/news/337_release-of-the-first-best-practices-guide-lgbti-inclusion-in-the-workplace" TargetMode="Externa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yperlink" Target="https://www.facebook.com/groups/71551927409/" TargetMode="External"/><Relationship Id="rId17" Type="http://schemas.openxmlformats.org/officeDocument/2006/relationships/image" Target="media/image2.png"/><Relationship Id="rId25" Type="http://schemas.openxmlformats.org/officeDocument/2006/relationships/hyperlink" Target="https://www.luxtimes.lu/en/living-in-luxembourg/diversity-luxembourg-pride-week-2021-and-lgbtiq-life-602d6079de135b923695e6dc" TargetMode="External"/><Relationship Id="rId2" Type="http://schemas.openxmlformats.org/officeDocument/2006/relationships/numbering" Target="numbering.xml"/><Relationship Id="rId16" Type="http://schemas.openxmlformats.org/officeDocument/2006/relationships/hyperlink" Target="https://www.arcus.lu/index.php" TargetMode="External"/><Relationship Id="rId20" Type="http://schemas.openxmlformats.org/officeDocument/2006/relationships/chart" Target="charts/chart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t.lu/" TargetMode="External"/><Relationship Id="rId24" Type="http://schemas.openxmlformats.org/officeDocument/2006/relationships/hyperlink" Target="https://www.oecd.org/luxembourg/OECD-LGBTI-2020-Over-The-Rainbow-LUXEMBOURG.pdf" TargetMode="External"/><Relationship Id="rId5" Type="http://schemas.openxmlformats.org/officeDocument/2006/relationships/webSettings" Target="webSettings.xml"/><Relationship Id="rId15" Type="http://schemas.openxmlformats.org/officeDocument/2006/relationships/hyperlink" Target="http://oscare.lu/?p=693" TargetMode="External"/><Relationship Id="rId23" Type="http://schemas.openxmlformats.org/officeDocument/2006/relationships/hyperlink" Target="https://fra.europa.eu/sites/default/files/fra_uploads/lgbti-survey-country-data_luxembourg.pdf" TargetMode="External"/><Relationship Id="rId28" Type="http://schemas.openxmlformats.org/officeDocument/2006/relationships/footer" Target="footer1.xml"/><Relationship Id="rId10" Type="http://schemas.openxmlformats.org/officeDocument/2006/relationships/hyperlink" Target="http://www.cigale.lu/"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gay.lu/" TargetMode="External"/><Relationship Id="rId14" Type="http://schemas.openxmlformats.org/officeDocument/2006/relationships/hyperlink" Target="https://fed.lu/wp/services/cffm/" TargetMode="External"/><Relationship Id="rId22" Type="http://schemas.openxmlformats.org/officeDocument/2006/relationships/chart" Target="charts/chart4.xm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notes.xml.rels><?xml version="1.0" encoding="UTF-8" standalone="yes"?>
<Relationships xmlns="http://schemas.openxmlformats.org/package/2006/relationships"><Relationship Id="rId1" Type="http://schemas.openxmlformats.org/officeDocument/2006/relationships/hyperlink" Target="https://libguides.murdoch.edu.au/APA/al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192.168.1.68\EU%20projects%20running\2020_10_29%20Str%20Part_RAINBO_symplexis\implementation\WP1%20-%20research\Online%20Survey\RAINBO-survey%20LGBTQI%20and%20Covid-19%20Analysi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192.168.1.68\EU%20projects%20running\2020_10_29%20Str%20Part_RAINBO_symplexis\implementation\WP1%20-%20research\Online%20Survey\RAINBO-survey%20LGBTQI%20and%20Covid-19%20Analysi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192.168.1.68\EU%20projects%20running\2020_10_29%20Str%20Part_RAINBO_symplexis\implementation\WP1%20-%20research\Online%20Survey\RAINBO-survey%20LGBTQI%20and%20Covid-19%20Analysi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192.168.1.68\EU%20projects%20running\2020_10_29%20Str%20Part_RAINBO_symplexis\implementation\WP1%20-%20research\Online%20Survey\RAINBO-survey%20LGBTQI%20and%20Covid-19%20Analysi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Overview</a:t>
            </a:r>
            <a:r>
              <a:rPr lang="nl-NL" baseline="0"/>
              <a:t> agreeing scores on the Perceived Stress Scale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lgbtiq!$F$49:$F$52</c:f>
              <c:strCache>
                <c:ptCount val="4"/>
                <c:pt idx="0">
                  <c:v>Lack of control</c:v>
                </c:pt>
                <c:pt idx="1">
                  <c:v>Lack of confidence</c:v>
                </c:pt>
                <c:pt idx="2">
                  <c:v>Things are not going my way</c:v>
                </c:pt>
                <c:pt idx="3">
                  <c:v>Difficulties are piling up too much</c:v>
                </c:pt>
              </c:strCache>
            </c:strRef>
          </c:cat>
          <c:val>
            <c:numRef>
              <c:f>lgbtiq!$G$49:$G$52</c:f>
              <c:numCache>
                <c:formatCode>0%</c:formatCode>
                <c:ptCount val="4"/>
                <c:pt idx="0">
                  <c:v>0.33333333333333331</c:v>
                </c:pt>
                <c:pt idx="1">
                  <c:v>0.25</c:v>
                </c:pt>
                <c:pt idx="2">
                  <c:v>0.33333333333333331</c:v>
                </c:pt>
                <c:pt idx="3">
                  <c:v>0.33333333333333331</c:v>
                </c:pt>
              </c:numCache>
            </c:numRef>
          </c:val>
          <c:extLst>
            <c:ext xmlns:c16="http://schemas.microsoft.com/office/drawing/2014/chart" uri="{C3380CC4-5D6E-409C-BE32-E72D297353CC}">
              <c16:uniqueId val="{00000000-0D42-4654-AE75-9446603CA802}"/>
            </c:ext>
          </c:extLst>
        </c:ser>
        <c:dLbls>
          <c:showLegendKey val="0"/>
          <c:showVal val="0"/>
          <c:showCatName val="0"/>
          <c:showSerName val="0"/>
          <c:showPercent val="0"/>
          <c:showBubbleSize val="0"/>
        </c:dLbls>
        <c:gapWidth val="182"/>
        <c:axId val="1187431664"/>
        <c:axId val="1187441232"/>
      </c:barChart>
      <c:catAx>
        <c:axId val="1187431664"/>
        <c:scaling>
          <c:orientation val="minMax"/>
        </c:scaling>
        <c:delete val="0"/>
        <c:axPos val="l"/>
        <c:numFmt formatCode="Standaard"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187441232"/>
        <c:crosses val="autoZero"/>
        <c:auto val="1"/>
        <c:lblAlgn val="ctr"/>
        <c:lblOffset val="100"/>
        <c:noMultiLvlLbl val="0"/>
      </c:catAx>
      <c:valAx>
        <c:axId val="11874412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187431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What happened</a:t>
            </a:r>
            <a:r>
              <a:rPr lang="nl-NL" baseline="0"/>
              <a:t> during the epidemic due to me being SOGIESC</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9361-4FB6-A9C8-4A475A950A7D}"/>
              </c:ext>
            </c:extLst>
          </c:dPt>
          <c:dPt>
            <c:idx val="1"/>
            <c:invertIfNegative val="0"/>
            <c:bubble3D val="0"/>
            <c:spPr>
              <a:solidFill>
                <a:srgbClr val="FF0000"/>
              </a:solidFill>
              <a:ln>
                <a:noFill/>
              </a:ln>
              <a:effectLst/>
            </c:spPr>
            <c:extLst>
              <c:ext xmlns:c16="http://schemas.microsoft.com/office/drawing/2014/chart" uri="{C3380CC4-5D6E-409C-BE32-E72D297353CC}">
                <c16:uniqueId val="{00000003-9361-4FB6-A9C8-4A475A950A7D}"/>
              </c:ext>
            </c:extLst>
          </c:dPt>
          <c:dPt>
            <c:idx val="2"/>
            <c:invertIfNegative val="0"/>
            <c:bubble3D val="0"/>
            <c:spPr>
              <a:solidFill>
                <a:srgbClr val="FF0000"/>
              </a:solidFill>
              <a:ln>
                <a:noFill/>
              </a:ln>
              <a:effectLst/>
            </c:spPr>
            <c:extLst>
              <c:ext xmlns:c16="http://schemas.microsoft.com/office/drawing/2014/chart" uri="{C3380CC4-5D6E-409C-BE32-E72D297353CC}">
                <c16:uniqueId val="{00000005-9361-4FB6-A9C8-4A475A950A7D}"/>
              </c:ext>
            </c:extLst>
          </c:dPt>
          <c:dPt>
            <c:idx val="3"/>
            <c:invertIfNegative val="0"/>
            <c:bubble3D val="0"/>
            <c:spPr>
              <a:solidFill>
                <a:srgbClr val="00B050"/>
              </a:solidFill>
              <a:ln>
                <a:noFill/>
              </a:ln>
              <a:effectLst/>
            </c:spPr>
            <c:extLst>
              <c:ext xmlns:c16="http://schemas.microsoft.com/office/drawing/2014/chart" uri="{C3380CC4-5D6E-409C-BE32-E72D297353CC}">
                <c16:uniqueId val="{00000007-9361-4FB6-A9C8-4A475A950A7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lgbtiq!$H$177:$H$180</c:f>
              <c:strCache>
                <c:ptCount val="4"/>
                <c:pt idx="0">
                  <c:v>People acted uncomfortable</c:v>
                </c:pt>
                <c:pt idx="1">
                  <c:v>People made slurs/jokes</c:v>
                </c:pt>
                <c:pt idx="2">
                  <c:v>I feared physical attacks</c:v>
                </c:pt>
                <c:pt idx="3">
                  <c:v>People supported me</c:v>
                </c:pt>
              </c:strCache>
            </c:strRef>
          </c:cat>
          <c:val>
            <c:numRef>
              <c:f>lgbtiq!$I$177:$I$180</c:f>
              <c:numCache>
                <c:formatCode>0%</c:formatCode>
                <c:ptCount val="4"/>
                <c:pt idx="0">
                  <c:v>0.45833333333333331</c:v>
                </c:pt>
                <c:pt idx="1">
                  <c:v>0.41666666666666669</c:v>
                </c:pt>
                <c:pt idx="2">
                  <c:v>0.45833333333333331</c:v>
                </c:pt>
                <c:pt idx="3">
                  <c:v>0.41666666666666669</c:v>
                </c:pt>
              </c:numCache>
            </c:numRef>
          </c:val>
          <c:extLst>
            <c:ext xmlns:c16="http://schemas.microsoft.com/office/drawing/2014/chart" uri="{C3380CC4-5D6E-409C-BE32-E72D297353CC}">
              <c16:uniqueId val="{00000008-9361-4FB6-A9C8-4A475A950A7D}"/>
            </c:ext>
          </c:extLst>
        </c:ser>
        <c:dLbls>
          <c:showLegendKey val="0"/>
          <c:showVal val="0"/>
          <c:showCatName val="0"/>
          <c:showSerName val="0"/>
          <c:showPercent val="0"/>
          <c:showBubbleSize val="0"/>
        </c:dLbls>
        <c:gapWidth val="182"/>
        <c:axId val="1674482735"/>
        <c:axId val="1674481487"/>
      </c:barChart>
      <c:catAx>
        <c:axId val="1674482735"/>
        <c:scaling>
          <c:orientation val="minMax"/>
        </c:scaling>
        <c:delete val="0"/>
        <c:axPos val="l"/>
        <c:numFmt formatCode="Standaard"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674481487"/>
        <c:crosses val="autoZero"/>
        <c:auto val="1"/>
        <c:lblAlgn val="ctr"/>
        <c:lblOffset val="100"/>
        <c:noMultiLvlLbl val="0"/>
      </c:catAx>
      <c:valAx>
        <c:axId val="167448148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6744827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Negatively affected</a:t>
            </a:r>
            <a:r>
              <a:rPr lang="nl-NL" baseline="0"/>
              <a:t> services due to COVID-19</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lgbtiq!$F$217:$F$229</c:f>
              <c:strCache>
                <c:ptCount val="13"/>
                <c:pt idx="0">
                  <c:v>Other</c:v>
                </c:pt>
                <c:pt idx="1">
                  <c:v>Acces to COVID-19 protection</c:v>
                </c:pt>
                <c:pt idx="2">
                  <c:v>Access to food</c:v>
                </c:pt>
                <c:pt idx="3">
                  <c:v>Emergency shelter</c:v>
                </c:pt>
                <c:pt idx="4">
                  <c:v>Housing</c:v>
                </c:pt>
                <c:pt idx="5">
                  <c:v>Anti-discrimination support</c:v>
                </c:pt>
                <c:pt idx="6">
                  <c:v>Legal services</c:v>
                </c:pt>
                <c:pt idx="7">
                  <c:v>Safety</c:v>
                </c:pt>
                <c:pt idx="8">
                  <c:v>Mental health services</c:v>
                </c:pt>
                <c:pt idx="9">
                  <c:v>Physical health services</c:v>
                </c:pt>
                <c:pt idx="10">
                  <c:v>Career counseling</c:v>
                </c:pt>
                <c:pt idx="11">
                  <c:v>Education</c:v>
                </c:pt>
                <c:pt idx="12">
                  <c:v>Employment</c:v>
                </c:pt>
              </c:strCache>
            </c:strRef>
          </c:cat>
          <c:val>
            <c:numRef>
              <c:f>lgbtiq!$G$217:$G$229</c:f>
              <c:numCache>
                <c:formatCode>0%</c:formatCode>
                <c:ptCount val="13"/>
                <c:pt idx="0">
                  <c:v>4.5454545454545456E-2</c:v>
                </c:pt>
                <c:pt idx="1">
                  <c:v>0.125</c:v>
                </c:pt>
                <c:pt idx="2">
                  <c:v>8.3333333333333329E-2</c:v>
                </c:pt>
                <c:pt idx="3">
                  <c:v>0.16666666666666666</c:v>
                </c:pt>
                <c:pt idx="4">
                  <c:v>0.20833333333333334</c:v>
                </c:pt>
                <c:pt idx="5">
                  <c:v>0.41666666666666669</c:v>
                </c:pt>
                <c:pt idx="6">
                  <c:v>0.39130434782608697</c:v>
                </c:pt>
                <c:pt idx="7">
                  <c:v>0.375</c:v>
                </c:pt>
                <c:pt idx="8">
                  <c:v>0.70833333333333337</c:v>
                </c:pt>
                <c:pt idx="9">
                  <c:v>0.75</c:v>
                </c:pt>
                <c:pt idx="10">
                  <c:v>0.41666666666666669</c:v>
                </c:pt>
                <c:pt idx="11">
                  <c:v>0.45833333333333331</c:v>
                </c:pt>
                <c:pt idx="12">
                  <c:v>0.75</c:v>
                </c:pt>
              </c:numCache>
            </c:numRef>
          </c:val>
          <c:extLst>
            <c:ext xmlns:c16="http://schemas.microsoft.com/office/drawing/2014/chart" uri="{C3380CC4-5D6E-409C-BE32-E72D297353CC}">
              <c16:uniqueId val="{00000000-891E-4884-A62B-774D7C600EFA}"/>
            </c:ext>
          </c:extLst>
        </c:ser>
        <c:dLbls>
          <c:showLegendKey val="0"/>
          <c:showVal val="0"/>
          <c:showCatName val="0"/>
          <c:showSerName val="0"/>
          <c:showPercent val="0"/>
          <c:showBubbleSize val="0"/>
        </c:dLbls>
        <c:gapWidth val="182"/>
        <c:axId val="1633922719"/>
        <c:axId val="1633912319"/>
      </c:barChart>
      <c:catAx>
        <c:axId val="1633922719"/>
        <c:scaling>
          <c:orientation val="minMax"/>
        </c:scaling>
        <c:delete val="0"/>
        <c:axPos val="l"/>
        <c:numFmt formatCode="Standaard"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633912319"/>
        <c:crosses val="autoZero"/>
        <c:auto val="1"/>
        <c:lblAlgn val="ctr"/>
        <c:lblOffset val="100"/>
        <c:noMultiLvlLbl val="0"/>
      </c:catAx>
      <c:valAx>
        <c:axId val="1633912319"/>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6339227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Needs for training topics to be covered by</a:t>
            </a:r>
            <a:r>
              <a:rPr lang="nl-NL" baseline="0"/>
              <a:t> RAINBO</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bar"/>
        <c:grouping val="stacked"/>
        <c:varyColors val="0"/>
        <c:ser>
          <c:idx val="0"/>
          <c:order val="0"/>
          <c:tx>
            <c:strRef>
              <c:f>providers!$G$107</c:f>
              <c:strCache>
                <c:ptCount val="1"/>
                <c:pt idx="0">
                  <c:v>not at all</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providers!$F$108:$F$118</c:f>
              <c:strCache>
                <c:ptCount val="11"/>
                <c:pt idx="0">
                  <c:v>Other</c:v>
                </c:pt>
                <c:pt idx="1">
                  <c:v>Referrals</c:v>
                </c:pt>
                <c:pt idx="2">
                  <c:v>Support services</c:v>
                </c:pt>
                <c:pt idx="3">
                  <c:v>Behavioural guidelines</c:v>
                </c:pt>
                <c:pt idx="4">
                  <c:v>Legal framework</c:v>
                </c:pt>
                <c:pt idx="5">
                  <c:v>Key concepts</c:v>
                </c:pt>
                <c:pt idx="6">
                  <c:v>International good practices</c:v>
                </c:pt>
                <c:pt idx="7">
                  <c:v>Challenges working remotely</c:v>
                </c:pt>
                <c:pt idx="8">
                  <c:v>Providing remote services</c:v>
                </c:pt>
                <c:pt idx="9">
                  <c:v>Access for LGBTQI to online services</c:v>
                </c:pt>
                <c:pt idx="10">
                  <c:v>Challenges for LGBTQI</c:v>
                </c:pt>
              </c:strCache>
            </c:strRef>
          </c:cat>
          <c:val>
            <c:numRef>
              <c:f>providers!$G$108:$G$118</c:f>
              <c:numCache>
                <c:formatCode>0%</c:formatCode>
                <c:ptCount val="11"/>
                <c:pt idx="0">
                  <c:v>0.45454545454545453</c:v>
                </c:pt>
                <c:pt idx="1">
                  <c:v>0.21428571428571427</c:v>
                </c:pt>
                <c:pt idx="2">
                  <c:v>7.1428571428571425E-2</c:v>
                </c:pt>
                <c:pt idx="3">
                  <c:v>0.14285714285714285</c:v>
                </c:pt>
                <c:pt idx="4">
                  <c:v>7.1428571428571425E-2</c:v>
                </c:pt>
                <c:pt idx="5">
                  <c:v>7.1428571428571425E-2</c:v>
                </c:pt>
                <c:pt idx="6">
                  <c:v>7.1428571428571425E-2</c:v>
                </c:pt>
                <c:pt idx="7">
                  <c:v>7.1428571428571425E-2</c:v>
                </c:pt>
                <c:pt idx="8">
                  <c:v>7.1428571428571425E-2</c:v>
                </c:pt>
                <c:pt idx="9">
                  <c:v>7.1428571428571425E-2</c:v>
                </c:pt>
                <c:pt idx="10">
                  <c:v>0</c:v>
                </c:pt>
              </c:numCache>
            </c:numRef>
          </c:val>
          <c:extLst>
            <c:ext xmlns:c16="http://schemas.microsoft.com/office/drawing/2014/chart" uri="{C3380CC4-5D6E-409C-BE32-E72D297353CC}">
              <c16:uniqueId val="{00000000-66E5-4BF2-9283-239F2ED7FF7C}"/>
            </c:ext>
          </c:extLst>
        </c:ser>
        <c:ser>
          <c:idx val="1"/>
          <c:order val="1"/>
          <c:tx>
            <c:strRef>
              <c:f>providers!$H$107</c:f>
              <c:strCache>
                <c:ptCount val="1"/>
                <c:pt idx="0">
                  <c:v>not so much</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providers!$F$108:$F$118</c:f>
              <c:strCache>
                <c:ptCount val="11"/>
                <c:pt idx="0">
                  <c:v>Other</c:v>
                </c:pt>
                <c:pt idx="1">
                  <c:v>Referrals</c:v>
                </c:pt>
                <c:pt idx="2">
                  <c:v>Support services</c:v>
                </c:pt>
                <c:pt idx="3">
                  <c:v>Behavioural guidelines</c:v>
                </c:pt>
                <c:pt idx="4">
                  <c:v>Legal framework</c:v>
                </c:pt>
                <c:pt idx="5">
                  <c:v>Key concepts</c:v>
                </c:pt>
                <c:pt idx="6">
                  <c:v>International good practices</c:v>
                </c:pt>
                <c:pt idx="7">
                  <c:v>Challenges working remotely</c:v>
                </c:pt>
                <c:pt idx="8">
                  <c:v>Providing remote services</c:v>
                </c:pt>
                <c:pt idx="9">
                  <c:v>Access for LGBTQI to online services</c:v>
                </c:pt>
                <c:pt idx="10">
                  <c:v>Challenges for LGBTQI</c:v>
                </c:pt>
              </c:strCache>
            </c:strRef>
          </c:cat>
          <c:val>
            <c:numRef>
              <c:f>providers!$H$108:$H$118</c:f>
              <c:numCache>
                <c:formatCode>0%</c:formatCode>
                <c:ptCount val="11"/>
                <c:pt idx="0">
                  <c:v>9.0909090909090912E-2</c:v>
                </c:pt>
                <c:pt idx="1">
                  <c:v>0.14285714285714285</c:v>
                </c:pt>
                <c:pt idx="2">
                  <c:v>0.21428571428571427</c:v>
                </c:pt>
                <c:pt idx="3">
                  <c:v>7.1428571428571425E-2</c:v>
                </c:pt>
                <c:pt idx="4">
                  <c:v>0.14285714285714285</c:v>
                </c:pt>
                <c:pt idx="5">
                  <c:v>0.2857142857142857</c:v>
                </c:pt>
                <c:pt idx="6">
                  <c:v>7.1428571428571425E-2</c:v>
                </c:pt>
                <c:pt idx="7">
                  <c:v>0.14285714285714285</c:v>
                </c:pt>
                <c:pt idx="8">
                  <c:v>0.14285714285714285</c:v>
                </c:pt>
                <c:pt idx="9">
                  <c:v>0.21428571428571427</c:v>
                </c:pt>
                <c:pt idx="10">
                  <c:v>0.14285714285714285</c:v>
                </c:pt>
              </c:numCache>
            </c:numRef>
          </c:val>
          <c:extLst>
            <c:ext xmlns:c16="http://schemas.microsoft.com/office/drawing/2014/chart" uri="{C3380CC4-5D6E-409C-BE32-E72D297353CC}">
              <c16:uniqueId val="{00000001-66E5-4BF2-9283-239F2ED7FF7C}"/>
            </c:ext>
          </c:extLst>
        </c:ser>
        <c:ser>
          <c:idx val="2"/>
          <c:order val="2"/>
          <c:tx>
            <c:strRef>
              <c:f>providers!$I$107</c:f>
              <c:strCache>
                <c:ptCount val="1"/>
                <c:pt idx="0">
                  <c:v>maybe</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providers!$F$108:$F$118</c:f>
              <c:strCache>
                <c:ptCount val="11"/>
                <c:pt idx="0">
                  <c:v>Other</c:v>
                </c:pt>
                <c:pt idx="1">
                  <c:v>Referrals</c:v>
                </c:pt>
                <c:pt idx="2">
                  <c:v>Support services</c:v>
                </c:pt>
                <c:pt idx="3">
                  <c:v>Behavioural guidelines</c:v>
                </c:pt>
                <c:pt idx="4">
                  <c:v>Legal framework</c:v>
                </c:pt>
                <c:pt idx="5">
                  <c:v>Key concepts</c:v>
                </c:pt>
                <c:pt idx="6">
                  <c:v>International good practices</c:v>
                </c:pt>
                <c:pt idx="7">
                  <c:v>Challenges working remotely</c:v>
                </c:pt>
                <c:pt idx="8">
                  <c:v>Providing remote services</c:v>
                </c:pt>
                <c:pt idx="9">
                  <c:v>Access for LGBTQI to online services</c:v>
                </c:pt>
                <c:pt idx="10">
                  <c:v>Challenges for LGBTQI</c:v>
                </c:pt>
              </c:strCache>
            </c:strRef>
          </c:cat>
          <c:val>
            <c:numRef>
              <c:f>providers!$I$108:$I$118</c:f>
              <c:numCache>
                <c:formatCode>0%</c:formatCode>
                <c:ptCount val="11"/>
                <c:pt idx="0">
                  <c:v>0.27272727272727271</c:v>
                </c:pt>
                <c:pt idx="1">
                  <c:v>0.14285714285714285</c:v>
                </c:pt>
                <c:pt idx="2">
                  <c:v>0.2857142857142857</c:v>
                </c:pt>
                <c:pt idx="3">
                  <c:v>0.14285714285714285</c:v>
                </c:pt>
                <c:pt idx="4">
                  <c:v>0.21428571428571427</c:v>
                </c:pt>
                <c:pt idx="5">
                  <c:v>0.14285714285714285</c:v>
                </c:pt>
                <c:pt idx="6">
                  <c:v>0.14285714285714285</c:v>
                </c:pt>
                <c:pt idx="7">
                  <c:v>0.2857142857142857</c:v>
                </c:pt>
                <c:pt idx="8">
                  <c:v>0.2857142857142857</c:v>
                </c:pt>
                <c:pt idx="9">
                  <c:v>0.35714285714285715</c:v>
                </c:pt>
                <c:pt idx="10">
                  <c:v>0.14285714285714285</c:v>
                </c:pt>
              </c:numCache>
            </c:numRef>
          </c:val>
          <c:extLst>
            <c:ext xmlns:c16="http://schemas.microsoft.com/office/drawing/2014/chart" uri="{C3380CC4-5D6E-409C-BE32-E72D297353CC}">
              <c16:uniqueId val="{00000002-66E5-4BF2-9283-239F2ED7FF7C}"/>
            </c:ext>
          </c:extLst>
        </c:ser>
        <c:ser>
          <c:idx val="3"/>
          <c:order val="3"/>
          <c:tx>
            <c:strRef>
              <c:f>providers!$J$107</c:f>
              <c:strCache>
                <c:ptCount val="1"/>
                <c:pt idx="0">
                  <c:v>more or less</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providers!$F$108:$F$118</c:f>
              <c:strCache>
                <c:ptCount val="11"/>
                <c:pt idx="0">
                  <c:v>Other</c:v>
                </c:pt>
                <c:pt idx="1">
                  <c:v>Referrals</c:v>
                </c:pt>
                <c:pt idx="2">
                  <c:v>Support services</c:v>
                </c:pt>
                <c:pt idx="3">
                  <c:v>Behavioural guidelines</c:v>
                </c:pt>
                <c:pt idx="4">
                  <c:v>Legal framework</c:v>
                </c:pt>
                <c:pt idx="5">
                  <c:v>Key concepts</c:v>
                </c:pt>
                <c:pt idx="6">
                  <c:v>International good practices</c:v>
                </c:pt>
                <c:pt idx="7">
                  <c:v>Challenges working remotely</c:v>
                </c:pt>
                <c:pt idx="8">
                  <c:v>Providing remote services</c:v>
                </c:pt>
                <c:pt idx="9">
                  <c:v>Access for LGBTQI to online services</c:v>
                </c:pt>
                <c:pt idx="10">
                  <c:v>Challenges for LGBTQI</c:v>
                </c:pt>
              </c:strCache>
            </c:strRef>
          </c:cat>
          <c:val>
            <c:numRef>
              <c:f>providers!$J$108:$J$118</c:f>
              <c:numCache>
                <c:formatCode>0%</c:formatCode>
                <c:ptCount val="11"/>
                <c:pt idx="0">
                  <c:v>9.0909090909090912E-2</c:v>
                </c:pt>
                <c:pt idx="1">
                  <c:v>0.21428571428571427</c:v>
                </c:pt>
                <c:pt idx="2">
                  <c:v>0.21428571428571427</c:v>
                </c:pt>
                <c:pt idx="3">
                  <c:v>0.14285714285714285</c:v>
                </c:pt>
                <c:pt idx="4">
                  <c:v>0.14285714285714285</c:v>
                </c:pt>
                <c:pt idx="5">
                  <c:v>7.1428571428571425E-2</c:v>
                </c:pt>
                <c:pt idx="6">
                  <c:v>0.21428571428571427</c:v>
                </c:pt>
                <c:pt idx="7">
                  <c:v>0.14285714285714285</c:v>
                </c:pt>
                <c:pt idx="8">
                  <c:v>0.2857142857142857</c:v>
                </c:pt>
                <c:pt idx="9">
                  <c:v>0.14285714285714285</c:v>
                </c:pt>
                <c:pt idx="10">
                  <c:v>0.21428571428571427</c:v>
                </c:pt>
              </c:numCache>
            </c:numRef>
          </c:val>
          <c:extLst>
            <c:ext xmlns:c16="http://schemas.microsoft.com/office/drawing/2014/chart" uri="{C3380CC4-5D6E-409C-BE32-E72D297353CC}">
              <c16:uniqueId val="{00000003-66E5-4BF2-9283-239F2ED7FF7C}"/>
            </c:ext>
          </c:extLst>
        </c:ser>
        <c:ser>
          <c:idx val="4"/>
          <c:order val="4"/>
          <c:tx>
            <c:strRef>
              <c:f>providers!$K$107</c:f>
              <c:strCache>
                <c:ptCount val="1"/>
                <c:pt idx="0">
                  <c:v>very much</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providers!$F$108:$F$118</c:f>
              <c:strCache>
                <c:ptCount val="11"/>
                <c:pt idx="0">
                  <c:v>Other</c:v>
                </c:pt>
                <c:pt idx="1">
                  <c:v>Referrals</c:v>
                </c:pt>
                <c:pt idx="2">
                  <c:v>Support services</c:v>
                </c:pt>
                <c:pt idx="3">
                  <c:v>Behavioural guidelines</c:v>
                </c:pt>
                <c:pt idx="4">
                  <c:v>Legal framework</c:v>
                </c:pt>
                <c:pt idx="5">
                  <c:v>Key concepts</c:v>
                </c:pt>
                <c:pt idx="6">
                  <c:v>International good practices</c:v>
                </c:pt>
                <c:pt idx="7">
                  <c:v>Challenges working remotely</c:v>
                </c:pt>
                <c:pt idx="8">
                  <c:v>Providing remote services</c:v>
                </c:pt>
                <c:pt idx="9">
                  <c:v>Access for LGBTQI to online services</c:v>
                </c:pt>
                <c:pt idx="10">
                  <c:v>Challenges for LGBTQI</c:v>
                </c:pt>
              </c:strCache>
            </c:strRef>
          </c:cat>
          <c:val>
            <c:numRef>
              <c:f>providers!$K$108:$K$118</c:f>
              <c:numCache>
                <c:formatCode>0%</c:formatCode>
                <c:ptCount val="11"/>
                <c:pt idx="0">
                  <c:v>9.0909090909090912E-2</c:v>
                </c:pt>
                <c:pt idx="1">
                  <c:v>0.2857142857142857</c:v>
                </c:pt>
                <c:pt idx="2">
                  <c:v>0.21428571428571427</c:v>
                </c:pt>
                <c:pt idx="3">
                  <c:v>0.5</c:v>
                </c:pt>
                <c:pt idx="4">
                  <c:v>0.42857142857142855</c:v>
                </c:pt>
                <c:pt idx="5">
                  <c:v>0.42857142857142855</c:v>
                </c:pt>
                <c:pt idx="6">
                  <c:v>0.5</c:v>
                </c:pt>
                <c:pt idx="7">
                  <c:v>0.35714285714285715</c:v>
                </c:pt>
                <c:pt idx="8">
                  <c:v>0.21428571428571427</c:v>
                </c:pt>
                <c:pt idx="9">
                  <c:v>0.21428571428571427</c:v>
                </c:pt>
                <c:pt idx="10">
                  <c:v>0.5</c:v>
                </c:pt>
              </c:numCache>
            </c:numRef>
          </c:val>
          <c:extLst>
            <c:ext xmlns:c16="http://schemas.microsoft.com/office/drawing/2014/chart" uri="{C3380CC4-5D6E-409C-BE32-E72D297353CC}">
              <c16:uniqueId val="{00000004-66E5-4BF2-9283-239F2ED7FF7C}"/>
            </c:ext>
          </c:extLst>
        </c:ser>
        <c:dLbls>
          <c:showLegendKey val="0"/>
          <c:showVal val="0"/>
          <c:showCatName val="0"/>
          <c:showSerName val="0"/>
          <c:showPercent val="0"/>
          <c:showBubbleSize val="0"/>
        </c:dLbls>
        <c:gapWidth val="150"/>
        <c:overlap val="100"/>
        <c:axId val="1334549791"/>
        <c:axId val="1334551871"/>
      </c:barChart>
      <c:catAx>
        <c:axId val="1334549791"/>
        <c:scaling>
          <c:orientation val="minMax"/>
        </c:scaling>
        <c:delete val="0"/>
        <c:axPos val="l"/>
        <c:numFmt formatCode="Standaard"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334551871"/>
        <c:crosses val="autoZero"/>
        <c:auto val="1"/>
        <c:lblAlgn val="ctr"/>
        <c:lblOffset val="100"/>
        <c:noMultiLvlLbl val="0"/>
      </c:catAx>
      <c:valAx>
        <c:axId val="133455187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3345497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Elc4JznlL5W58ZSOIxUT8imf7w==">AMUW2mWmBdgyuKUY2qIG8RWP9VabTBrSP639jXyuHzMZF5Ai1Z1sFARFef89kUGhPHT9dKzmCNH4ThPdREydxPDHSLJQTaQ7Y01hsb5xWmdE5rTXnd0uQOsLUErDTKiuTuRx+A3IvPUcVmx78nOqqMvtqjyDsA0eyJww66qqu8f1YQbNOht9/FSlHF/gNjGU9q626LHLM32VXz7CHP/WxoyG8wErJBN9rsZY6d/Gupvvj54yyeCDmio=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5597</Words>
  <Characters>30786</Characters>
  <Application>Microsoft Office Word</Application>
  <DocSecurity>0</DocSecurity>
  <Lines>256</Lines>
  <Paragraphs>72</Paragraphs>
  <ScaleCrop>false</ScaleCrop>
  <Company/>
  <LinksUpToDate>false</LinksUpToDate>
  <CharactersWithSpaces>36311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Elli Doufexi Kaplani</dc:creator>
  <cp:lastModifiedBy>Peter Dankmeijer</cp:lastModifiedBy>
  <cp:revision>2</cp:revision>
  <dcterms:created xsi:type="dcterms:W3CDTF">2022-09-05T16:46:00Z</dcterms:created>
  <dcterms:modified xsi:type="dcterms:W3CDTF">2022-09-05T16:46:00Z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0x0101001DDA3A599E893E44879CF3FCC59F7962</vt:lpwstr>
  </property>
</Properties>
</file>